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39"/>
        <w:tblW w:w="4410" w:type="dxa"/>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1350"/>
        <w:gridCol w:w="2340"/>
        <w:gridCol w:w="360"/>
      </w:tblGrid>
      <w:tr w:rsidR="00D24993" w:rsidRPr="00520833" w14:paraId="08854430" w14:textId="77777777" w:rsidTr="00D65922">
        <w:tc>
          <w:tcPr>
            <w:tcW w:w="360" w:type="dxa"/>
            <w:tcBorders>
              <w:top w:val="double" w:sz="4" w:space="0" w:color="auto"/>
            </w:tcBorders>
          </w:tcPr>
          <w:p w14:paraId="18E2A170" w14:textId="77777777" w:rsidR="00D24993" w:rsidRPr="00520833" w:rsidRDefault="00D24993" w:rsidP="00D65922">
            <w:pPr>
              <w:jc w:val="both"/>
              <w:rPr>
                <w:rFonts w:ascii="Times New Roman" w:hAnsi="Times New Roman" w:cs="Times New Roman"/>
                <w:sz w:val="24"/>
              </w:rPr>
            </w:pPr>
          </w:p>
        </w:tc>
        <w:tc>
          <w:tcPr>
            <w:tcW w:w="1350" w:type="dxa"/>
            <w:tcBorders>
              <w:top w:val="double" w:sz="4" w:space="0" w:color="auto"/>
              <w:bottom w:val="single" w:sz="6" w:space="0" w:color="auto"/>
            </w:tcBorders>
          </w:tcPr>
          <w:p w14:paraId="4958030E"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Shot</w:t>
            </w:r>
          </w:p>
        </w:tc>
        <w:tc>
          <w:tcPr>
            <w:tcW w:w="2340" w:type="dxa"/>
            <w:tcBorders>
              <w:top w:val="double" w:sz="4" w:space="0" w:color="auto"/>
              <w:bottom w:val="single" w:sz="6" w:space="0" w:color="auto"/>
            </w:tcBorders>
          </w:tcPr>
          <w:p w14:paraId="507A00DC"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Time Window (ms)</w:t>
            </w:r>
          </w:p>
        </w:tc>
        <w:tc>
          <w:tcPr>
            <w:tcW w:w="360" w:type="dxa"/>
            <w:tcBorders>
              <w:top w:val="double" w:sz="4" w:space="0" w:color="auto"/>
            </w:tcBorders>
          </w:tcPr>
          <w:p w14:paraId="737FCA6A" w14:textId="77777777" w:rsidR="00D24993" w:rsidRPr="00520833" w:rsidRDefault="00D24993" w:rsidP="00D65922">
            <w:pPr>
              <w:jc w:val="both"/>
              <w:rPr>
                <w:rFonts w:ascii="Times New Roman" w:hAnsi="Times New Roman" w:cs="Times New Roman"/>
                <w:sz w:val="24"/>
              </w:rPr>
            </w:pPr>
          </w:p>
        </w:tc>
      </w:tr>
      <w:tr w:rsidR="00D24993" w:rsidRPr="00520833" w14:paraId="6AA738EE" w14:textId="77777777" w:rsidTr="00D65922">
        <w:tc>
          <w:tcPr>
            <w:tcW w:w="360" w:type="dxa"/>
          </w:tcPr>
          <w:p w14:paraId="7B95ACB1" w14:textId="77777777" w:rsidR="00D24993" w:rsidRPr="00520833" w:rsidRDefault="00D24993" w:rsidP="00D65922">
            <w:pPr>
              <w:jc w:val="both"/>
              <w:rPr>
                <w:rFonts w:ascii="Times New Roman" w:hAnsi="Times New Roman" w:cs="Times New Roman"/>
                <w:sz w:val="24"/>
              </w:rPr>
            </w:pPr>
          </w:p>
        </w:tc>
        <w:tc>
          <w:tcPr>
            <w:tcW w:w="1350" w:type="dxa"/>
            <w:tcBorders>
              <w:top w:val="single" w:sz="6" w:space="0" w:color="auto"/>
            </w:tcBorders>
          </w:tcPr>
          <w:p w14:paraId="380EF88A"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153071</w:t>
            </w:r>
          </w:p>
        </w:tc>
        <w:tc>
          <w:tcPr>
            <w:tcW w:w="2340" w:type="dxa"/>
            <w:tcBorders>
              <w:top w:val="single" w:sz="6" w:space="0" w:color="auto"/>
            </w:tcBorders>
          </w:tcPr>
          <w:p w14:paraId="316191E3"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2800 – 3000</w:t>
            </w:r>
          </w:p>
        </w:tc>
        <w:tc>
          <w:tcPr>
            <w:tcW w:w="360" w:type="dxa"/>
          </w:tcPr>
          <w:p w14:paraId="07267D72" w14:textId="77777777" w:rsidR="00D24993" w:rsidRPr="00520833" w:rsidRDefault="00D24993" w:rsidP="00D65922">
            <w:pPr>
              <w:jc w:val="both"/>
              <w:rPr>
                <w:rFonts w:ascii="Times New Roman" w:hAnsi="Times New Roman" w:cs="Times New Roman"/>
                <w:sz w:val="24"/>
              </w:rPr>
            </w:pPr>
          </w:p>
        </w:tc>
      </w:tr>
      <w:tr w:rsidR="00520833" w:rsidRPr="00520833" w14:paraId="454D264A" w14:textId="77777777" w:rsidTr="00D65922">
        <w:tc>
          <w:tcPr>
            <w:tcW w:w="360" w:type="dxa"/>
          </w:tcPr>
          <w:p w14:paraId="2C3FFD58" w14:textId="77777777" w:rsidR="00D24993" w:rsidRPr="00520833" w:rsidRDefault="00D24993" w:rsidP="00D65922">
            <w:pPr>
              <w:jc w:val="both"/>
              <w:rPr>
                <w:rFonts w:ascii="Times New Roman" w:hAnsi="Times New Roman" w:cs="Times New Roman"/>
                <w:sz w:val="24"/>
              </w:rPr>
            </w:pPr>
          </w:p>
        </w:tc>
        <w:tc>
          <w:tcPr>
            <w:tcW w:w="1350" w:type="dxa"/>
          </w:tcPr>
          <w:p w14:paraId="2DE6EE9D"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153072</w:t>
            </w:r>
          </w:p>
        </w:tc>
        <w:tc>
          <w:tcPr>
            <w:tcW w:w="2340" w:type="dxa"/>
          </w:tcPr>
          <w:p w14:paraId="0F5CC81E"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2800 – 3000 </w:t>
            </w:r>
          </w:p>
        </w:tc>
        <w:tc>
          <w:tcPr>
            <w:tcW w:w="360" w:type="dxa"/>
          </w:tcPr>
          <w:p w14:paraId="7575DA85" w14:textId="77777777" w:rsidR="00D24993" w:rsidRPr="00520833" w:rsidRDefault="00D24993" w:rsidP="00D65922">
            <w:pPr>
              <w:jc w:val="both"/>
              <w:rPr>
                <w:rFonts w:ascii="Times New Roman" w:hAnsi="Times New Roman" w:cs="Times New Roman"/>
                <w:sz w:val="24"/>
              </w:rPr>
            </w:pPr>
          </w:p>
        </w:tc>
      </w:tr>
      <w:tr w:rsidR="00520833" w:rsidRPr="00520833" w14:paraId="4FCCDBEE" w14:textId="77777777" w:rsidTr="00D65922">
        <w:tc>
          <w:tcPr>
            <w:tcW w:w="360" w:type="dxa"/>
          </w:tcPr>
          <w:p w14:paraId="3BC2B608" w14:textId="77777777" w:rsidR="00D24993" w:rsidRPr="00520833" w:rsidRDefault="00D24993" w:rsidP="00D65922">
            <w:pPr>
              <w:jc w:val="both"/>
              <w:rPr>
                <w:rFonts w:ascii="Times New Roman" w:hAnsi="Times New Roman" w:cs="Times New Roman"/>
                <w:sz w:val="24"/>
              </w:rPr>
            </w:pPr>
          </w:p>
        </w:tc>
        <w:tc>
          <w:tcPr>
            <w:tcW w:w="1350" w:type="dxa"/>
          </w:tcPr>
          <w:p w14:paraId="37CE1FE2"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152932</w:t>
            </w:r>
          </w:p>
        </w:tc>
        <w:tc>
          <w:tcPr>
            <w:tcW w:w="2340" w:type="dxa"/>
          </w:tcPr>
          <w:p w14:paraId="79A9E5CF"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2500 – 2700 </w:t>
            </w:r>
          </w:p>
        </w:tc>
        <w:tc>
          <w:tcPr>
            <w:tcW w:w="360" w:type="dxa"/>
          </w:tcPr>
          <w:p w14:paraId="05E225B2" w14:textId="77777777" w:rsidR="00D24993" w:rsidRPr="00520833" w:rsidRDefault="00D24993" w:rsidP="00D65922">
            <w:pPr>
              <w:jc w:val="both"/>
              <w:rPr>
                <w:rFonts w:ascii="Times New Roman" w:hAnsi="Times New Roman" w:cs="Times New Roman"/>
                <w:sz w:val="24"/>
              </w:rPr>
            </w:pPr>
          </w:p>
        </w:tc>
      </w:tr>
      <w:tr w:rsidR="00520833" w:rsidRPr="00520833" w14:paraId="2D4851F2" w14:textId="77777777" w:rsidTr="00D65922">
        <w:tc>
          <w:tcPr>
            <w:tcW w:w="360" w:type="dxa"/>
          </w:tcPr>
          <w:p w14:paraId="011E1122" w14:textId="77777777" w:rsidR="00D24993" w:rsidRPr="00520833" w:rsidRDefault="00D24993" w:rsidP="00D65922">
            <w:pPr>
              <w:jc w:val="both"/>
              <w:rPr>
                <w:rFonts w:ascii="Times New Roman" w:hAnsi="Times New Roman" w:cs="Times New Roman"/>
                <w:sz w:val="24"/>
              </w:rPr>
            </w:pPr>
          </w:p>
        </w:tc>
        <w:tc>
          <w:tcPr>
            <w:tcW w:w="1350" w:type="dxa"/>
          </w:tcPr>
          <w:p w14:paraId="7983E664"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152938</w:t>
            </w:r>
          </w:p>
        </w:tc>
        <w:tc>
          <w:tcPr>
            <w:tcW w:w="2340" w:type="dxa"/>
          </w:tcPr>
          <w:p w14:paraId="542A8E80"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3000 – 3200 </w:t>
            </w:r>
          </w:p>
        </w:tc>
        <w:tc>
          <w:tcPr>
            <w:tcW w:w="360" w:type="dxa"/>
          </w:tcPr>
          <w:p w14:paraId="7FA9B9C2" w14:textId="77777777" w:rsidR="00D24993" w:rsidRPr="00520833" w:rsidRDefault="00D24993" w:rsidP="00D65922">
            <w:pPr>
              <w:jc w:val="both"/>
              <w:rPr>
                <w:rFonts w:ascii="Times New Roman" w:hAnsi="Times New Roman" w:cs="Times New Roman"/>
                <w:sz w:val="24"/>
              </w:rPr>
            </w:pPr>
          </w:p>
        </w:tc>
      </w:tr>
      <w:tr w:rsidR="00520833" w:rsidRPr="00520833" w14:paraId="02E7E747" w14:textId="77777777" w:rsidTr="00D65922">
        <w:tc>
          <w:tcPr>
            <w:tcW w:w="360" w:type="dxa"/>
          </w:tcPr>
          <w:p w14:paraId="4A7C7E2A" w14:textId="77777777" w:rsidR="00D24993" w:rsidRPr="00520833" w:rsidRDefault="00D24993" w:rsidP="00D65922">
            <w:pPr>
              <w:jc w:val="both"/>
              <w:rPr>
                <w:rFonts w:ascii="Times New Roman" w:hAnsi="Times New Roman" w:cs="Times New Roman"/>
                <w:sz w:val="24"/>
              </w:rPr>
            </w:pPr>
          </w:p>
        </w:tc>
        <w:tc>
          <w:tcPr>
            <w:tcW w:w="1350" w:type="dxa"/>
          </w:tcPr>
          <w:p w14:paraId="2500F584"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157399</w:t>
            </w:r>
          </w:p>
        </w:tc>
        <w:tc>
          <w:tcPr>
            <w:tcW w:w="2340" w:type="dxa"/>
          </w:tcPr>
          <w:p w14:paraId="30D77DC7"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Pr>
          <w:p w14:paraId="5601174E" w14:textId="77777777" w:rsidR="00D24993" w:rsidRPr="00520833" w:rsidRDefault="00D24993" w:rsidP="00D65922">
            <w:pPr>
              <w:jc w:val="both"/>
              <w:rPr>
                <w:rFonts w:ascii="Times New Roman" w:hAnsi="Times New Roman" w:cs="Times New Roman"/>
                <w:sz w:val="24"/>
              </w:rPr>
            </w:pPr>
          </w:p>
        </w:tc>
      </w:tr>
      <w:tr w:rsidR="00520833" w:rsidRPr="00520833" w14:paraId="358E79A1" w14:textId="77777777" w:rsidTr="00D65922">
        <w:tc>
          <w:tcPr>
            <w:tcW w:w="360" w:type="dxa"/>
          </w:tcPr>
          <w:p w14:paraId="15A03D67" w14:textId="77777777" w:rsidR="00D24993" w:rsidRPr="00520833" w:rsidRDefault="00D24993" w:rsidP="00D65922">
            <w:pPr>
              <w:jc w:val="both"/>
              <w:rPr>
                <w:rFonts w:ascii="Times New Roman" w:hAnsi="Times New Roman" w:cs="Times New Roman"/>
                <w:sz w:val="24"/>
              </w:rPr>
            </w:pPr>
          </w:p>
        </w:tc>
        <w:tc>
          <w:tcPr>
            <w:tcW w:w="1350" w:type="dxa"/>
          </w:tcPr>
          <w:p w14:paraId="3F604B26"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157400</w:t>
            </w:r>
          </w:p>
        </w:tc>
        <w:tc>
          <w:tcPr>
            <w:tcW w:w="2340" w:type="dxa"/>
          </w:tcPr>
          <w:p w14:paraId="6C2FBA28"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Pr>
          <w:p w14:paraId="7E058A10" w14:textId="77777777" w:rsidR="00D24993" w:rsidRPr="00520833" w:rsidRDefault="00D24993" w:rsidP="00D65922">
            <w:pPr>
              <w:jc w:val="both"/>
              <w:rPr>
                <w:rFonts w:ascii="Times New Roman" w:hAnsi="Times New Roman" w:cs="Times New Roman"/>
                <w:sz w:val="24"/>
              </w:rPr>
            </w:pPr>
          </w:p>
        </w:tc>
      </w:tr>
      <w:tr w:rsidR="00520833" w:rsidRPr="00520833" w14:paraId="4EDC59FC" w14:textId="77777777" w:rsidTr="00D65922">
        <w:tc>
          <w:tcPr>
            <w:tcW w:w="360" w:type="dxa"/>
          </w:tcPr>
          <w:p w14:paraId="35DCEC08" w14:textId="77777777" w:rsidR="00D24993" w:rsidRPr="00520833" w:rsidRDefault="00D24993" w:rsidP="00D65922">
            <w:pPr>
              <w:jc w:val="both"/>
              <w:rPr>
                <w:rFonts w:ascii="Times New Roman" w:hAnsi="Times New Roman" w:cs="Times New Roman"/>
                <w:sz w:val="24"/>
              </w:rPr>
            </w:pPr>
          </w:p>
        </w:tc>
        <w:tc>
          <w:tcPr>
            <w:tcW w:w="1350" w:type="dxa"/>
          </w:tcPr>
          <w:p w14:paraId="7757C0E0"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157401</w:t>
            </w:r>
          </w:p>
        </w:tc>
        <w:tc>
          <w:tcPr>
            <w:tcW w:w="2340" w:type="dxa"/>
          </w:tcPr>
          <w:p w14:paraId="7C8F46A2"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Pr>
          <w:p w14:paraId="1F95BF65" w14:textId="77777777" w:rsidR="00D24993" w:rsidRPr="00520833" w:rsidRDefault="00D24993" w:rsidP="00D65922">
            <w:pPr>
              <w:jc w:val="both"/>
              <w:rPr>
                <w:rFonts w:ascii="Times New Roman" w:hAnsi="Times New Roman" w:cs="Times New Roman"/>
                <w:sz w:val="24"/>
              </w:rPr>
            </w:pPr>
          </w:p>
        </w:tc>
      </w:tr>
      <w:tr w:rsidR="00D24993" w:rsidRPr="00520833" w14:paraId="2CAF643A" w14:textId="77777777" w:rsidTr="00D65922">
        <w:tc>
          <w:tcPr>
            <w:tcW w:w="360" w:type="dxa"/>
            <w:tcBorders>
              <w:bottom w:val="double" w:sz="4" w:space="0" w:color="auto"/>
            </w:tcBorders>
          </w:tcPr>
          <w:p w14:paraId="7674FFA5" w14:textId="77777777" w:rsidR="00D24993" w:rsidRPr="00520833" w:rsidRDefault="00D24993" w:rsidP="00D65922">
            <w:pPr>
              <w:jc w:val="both"/>
              <w:rPr>
                <w:rFonts w:ascii="Times New Roman" w:hAnsi="Times New Roman" w:cs="Times New Roman"/>
                <w:sz w:val="24"/>
              </w:rPr>
            </w:pPr>
          </w:p>
        </w:tc>
        <w:tc>
          <w:tcPr>
            <w:tcW w:w="1350" w:type="dxa"/>
            <w:tcBorders>
              <w:bottom w:val="double" w:sz="4" w:space="0" w:color="auto"/>
            </w:tcBorders>
          </w:tcPr>
          <w:p w14:paraId="01805AC0"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157402</w:t>
            </w:r>
          </w:p>
        </w:tc>
        <w:tc>
          <w:tcPr>
            <w:tcW w:w="2340" w:type="dxa"/>
            <w:tcBorders>
              <w:bottom w:val="double" w:sz="4" w:space="0" w:color="auto"/>
            </w:tcBorders>
          </w:tcPr>
          <w:p w14:paraId="34262A54" w14:textId="77777777" w:rsidR="00D24993" w:rsidRPr="00520833" w:rsidRDefault="00D24993" w:rsidP="00D65922">
            <w:pPr>
              <w:jc w:val="center"/>
              <w:rPr>
                <w:rFonts w:ascii="Times New Roman" w:hAnsi="Times New Roman" w:cs="Times New Roman"/>
                <w:sz w:val="24"/>
              </w:rPr>
            </w:pPr>
            <w:r w:rsidRPr="00520833">
              <w:rPr>
                <w:rFonts w:ascii="Times New Roman" w:hAnsi="Times New Roman" w:cs="Times New Roman"/>
                <w:sz w:val="24"/>
              </w:rPr>
              <w:t xml:space="preserve">2300 – 2500 </w:t>
            </w:r>
          </w:p>
        </w:tc>
        <w:tc>
          <w:tcPr>
            <w:tcW w:w="360" w:type="dxa"/>
            <w:tcBorders>
              <w:bottom w:val="double" w:sz="4" w:space="0" w:color="auto"/>
            </w:tcBorders>
          </w:tcPr>
          <w:p w14:paraId="3732A34C" w14:textId="77777777" w:rsidR="00D24993" w:rsidRPr="00520833" w:rsidRDefault="00D24993" w:rsidP="00D65922">
            <w:pPr>
              <w:keepNext/>
              <w:jc w:val="both"/>
              <w:rPr>
                <w:rFonts w:ascii="Times New Roman" w:hAnsi="Times New Roman" w:cs="Times New Roman"/>
                <w:sz w:val="24"/>
              </w:rPr>
            </w:pPr>
          </w:p>
        </w:tc>
      </w:tr>
    </w:tbl>
    <w:p w14:paraId="5FA4DD7C" w14:textId="37015153" w:rsidR="00520833" w:rsidRPr="00520833" w:rsidRDefault="00797862" w:rsidP="00520833">
      <w:pPr>
        <w:jc w:val="center"/>
        <w:rPr>
          <w:rFonts w:ascii="Times New Roman" w:hAnsi="Times New Roman" w:cs="Times New Roman"/>
          <w:b/>
          <w:sz w:val="28"/>
        </w:rPr>
      </w:pPr>
      <w:r>
        <w:rPr>
          <w:rFonts w:ascii="Times New Roman" w:hAnsi="Times New Roman" w:cs="Times New Roman"/>
          <w:b/>
          <w:sz w:val="28"/>
        </w:rPr>
        <w:t>[~]</w:t>
      </w:r>
      <w:r w:rsidR="00520833" w:rsidRPr="00520833">
        <w:rPr>
          <w:rFonts w:ascii="Times New Roman" w:hAnsi="Times New Roman" w:cs="Times New Roman"/>
          <w:b/>
          <w:sz w:val="28"/>
        </w:rPr>
        <w:t xml:space="preserve">. </w:t>
      </w:r>
      <w:r w:rsidR="00D65922">
        <w:rPr>
          <w:rFonts w:ascii="Times New Roman" w:hAnsi="Times New Roman" w:cs="Times New Roman"/>
          <w:b/>
          <w:sz w:val="28"/>
        </w:rPr>
        <w:t>Verification</w:t>
      </w:r>
      <w:r>
        <w:rPr>
          <w:rFonts w:ascii="Times New Roman" w:hAnsi="Times New Roman" w:cs="Times New Roman"/>
          <w:b/>
          <w:sz w:val="28"/>
        </w:rPr>
        <w:t xml:space="preserve"> Process</w:t>
      </w:r>
    </w:p>
    <w:p w14:paraId="52D1C4C6" w14:textId="57EE5124" w:rsidR="00D65922" w:rsidRPr="00520833" w:rsidRDefault="00797862" w:rsidP="00D65922">
      <w:pPr>
        <w:pStyle w:val="Caption"/>
        <w:framePr w:w="4401" w:h="531" w:hRule="exact" w:hSpace="180" w:wrap="around" w:vAnchor="text" w:hAnchor="page" w:x="6411" w:y="2084"/>
        <w:jc w:val="both"/>
        <w:rPr>
          <w:rFonts w:ascii="Times New Roman" w:hAnsi="Times New Roman" w:cs="Times New Roman"/>
          <w:i w:val="0"/>
          <w:color w:val="auto"/>
        </w:rPr>
      </w:pPr>
      <w:r>
        <w:rPr>
          <w:rFonts w:ascii="Times New Roman" w:hAnsi="Times New Roman" w:cs="Times New Roman"/>
          <w:b/>
          <w:i w:val="0"/>
          <w:color w:val="auto"/>
        </w:rPr>
        <w:t>Table [~]</w:t>
      </w:r>
      <w:r w:rsidR="00D65922" w:rsidRPr="00520833">
        <w:rPr>
          <w:rFonts w:ascii="Times New Roman" w:hAnsi="Times New Roman" w:cs="Times New Roman"/>
          <w:b/>
          <w:i w:val="0"/>
          <w:color w:val="auto"/>
        </w:rPr>
        <w:t>.1:</w:t>
      </w:r>
      <w:r w:rsidR="00D65922" w:rsidRPr="00520833">
        <w:rPr>
          <w:rFonts w:ascii="Times New Roman" w:hAnsi="Times New Roman" w:cs="Times New Roman"/>
          <w:i w:val="0"/>
          <w:color w:val="auto"/>
        </w:rPr>
        <w:t xml:space="preserve"> Summary of shots and time windows used. A 200 ms</w:t>
      </w:r>
      <w:r w:rsidR="005F7846">
        <w:rPr>
          <w:rFonts w:ascii="Times New Roman" w:hAnsi="Times New Roman" w:cs="Times New Roman"/>
          <w:i w:val="0"/>
          <w:color w:val="auto"/>
        </w:rPr>
        <w:t xml:space="preserve"> wide</w:t>
      </w:r>
      <w:r w:rsidR="00D65922" w:rsidRPr="00520833">
        <w:rPr>
          <w:rFonts w:ascii="Times New Roman" w:hAnsi="Times New Roman" w:cs="Times New Roman"/>
          <w:i w:val="0"/>
          <w:color w:val="auto"/>
        </w:rPr>
        <w:t xml:space="preserve"> time window was used for each shot.</w:t>
      </w:r>
    </w:p>
    <w:p w14:paraId="307FC005" w14:textId="440B186F" w:rsidR="009F1A5C" w:rsidRDefault="004D6763" w:rsidP="00797862">
      <w:pPr>
        <w:jc w:val="both"/>
        <w:rPr>
          <w:rFonts w:ascii="Times New Roman" w:hAnsi="Times New Roman" w:cs="Times New Roman"/>
          <w:sz w:val="24"/>
        </w:rPr>
      </w:pPr>
      <w:r w:rsidRPr="00520833">
        <w:rPr>
          <w:rFonts w:ascii="Times New Roman" w:hAnsi="Times New Roman" w:cs="Times New Roman"/>
          <w:sz w:val="24"/>
        </w:rPr>
        <w:t>When developing a new method, it is in good practice to routinely test said method on a sample set of data where you can already predict the outcome. This becomes increasingly more important as the complexity of your problem increases. For</w:t>
      </w:r>
      <w:r w:rsidR="00E539BF" w:rsidRPr="00520833">
        <w:rPr>
          <w:rFonts w:ascii="Times New Roman" w:hAnsi="Times New Roman" w:cs="Times New Roman"/>
          <w:sz w:val="24"/>
        </w:rPr>
        <w:t xml:space="preserve"> this reason, we collected a series of shots</w:t>
      </w:r>
      <w:r w:rsidR="00797862">
        <w:rPr>
          <w:rFonts w:ascii="Times New Roman" w:hAnsi="Times New Roman" w:cs="Times New Roman"/>
          <w:sz w:val="24"/>
        </w:rPr>
        <w:t xml:space="preserve"> (Table [~]</w:t>
      </w:r>
      <w:r w:rsidR="00965A4A" w:rsidRPr="00520833">
        <w:rPr>
          <w:rFonts w:ascii="Times New Roman" w:hAnsi="Times New Roman" w:cs="Times New Roman"/>
          <w:sz w:val="24"/>
        </w:rPr>
        <w:t>.1)</w:t>
      </w:r>
      <w:r w:rsidR="00E539BF" w:rsidRPr="00520833">
        <w:rPr>
          <w:rFonts w:ascii="Times New Roman" w:hAnsi="Times New Roman" w:cs="Times New Roman"/>
          <w:sz w:val="24"/>
        </w:rPr>
        <w:t xml:space="preserve"> which</w:t>
      </w:r>
      <w:r w:rsidRPr="00520833">
        <w:rPr>
          <w:rFonts w:ascii="Times New Roman" w:hAnsi="Times New Roman" w:cs="Times New Roman"/>
          <w:sz w:val="24"/>
        </w:rPr>
        <w:t xml:space="preserve"> </w:t>
      </w:r>
      <w:r w:rsidR="00E539BF" w:rsidRPr="00520833">
        <w:rPr>
          <w:rFonts w:ascii="Times New Roman" w:hAnsi="Times New Roman" w:cs="Times New Roman"/>
          <w:sz w:val="24"/>
        </w:rPr>
        <w:t>have already been extensively studied</w:t>
      </w:r>
      <w:r w:rsidR="00E539BF" w:rsidRPr="00520833">
        <w:rPr>
          <w:rFonts w:ascii="Times New Roman" w:hAnsi="Times New Roman" w:cs="Times New Roman"/>
          <w:sz w:val="24"/>
        </w:rPr>
        <w:fldChar w:fldCharType="begin" w:fldLock="1"/>
      </w:r>
      <w:r w:rsidR="00E539BF" w:rsidRPr="00520833">
        <w:rPr>
          <w:rFonts w:ascii="Times New Roman" w:hAnsi="Times New Roman" w:cs="Times New Roman"/>
          <w:sz w:val="24"/>
        </w:rPr>
        <w:instrText>ADDIN CSL_CITATION { "citationItems" : [ { "id" : "ITEM-1", "itemData" : { "DOI" : "10.1063/1.1505842", "ISSN" : "1070664X", "abstract" : "Nonlinear self-consistent magnetohydrodynamic (MHD) stability simulations of neoclassical tearing modes (NTM) are performed with the three-dimensional (3-D) MHD code Nonlinear Full Toroidal Code (NFTC) [Phys. Plasmas 8, 3605 (2001)] in real geometry. The numerical model is based on the nonlinear 3-D MHD equations including neoclassical effects: bootstrap current perturbations, and the transport and the polarization current thresholds. Neoclassical terms are included in the basic equations for magnetic field and pressure. An effective fully implicit numerical scheme allows the transport profile to evolve self-consistently with the nonlinear MHD instabilities and externally applied sources. A direct comparison of NTM evolution with experimental observations in different DIII-D discharges is performed. As a result, the nonlinear NTM stability diagram-dependences of the critical and the saturated island width on plasma current profile parameters are obtained. The stability criterion for the time evolution of the plasma profiles against neoclassical tearing modes is also investigated. (C) 2002 American Institute of Physics.", "author" : [ { "dropping-particle" : "", "family" : "Popov", "given" : "A. M.", "non-dropping-particle" : "", "parse-names" : false, "suffix" : "" }, { "dropping-particle" : "", "family" : "Haye", "given" : "R. J.", "non-dropping-particle" : "La", "parse-names" : false, "suffix" : "" }, { "dropping-particle" : "", "family" : "Liu", "given" : "Y. Q.", "non-dropping-particle" : "", "parse-names" : false, "suffix" : "" }, { "dropping-particle" : "", "family" : "Murakami", "given" : "M.", "non-dropping-particle" : "", "parse-names" : false, "suffix" : "" }, { "dropping-particle" : "", "family" : "Popova", "given" : "N. N.", "non-dropping-particle" : "", "parse-names" : false, "suffix" : "" }, { "dropping-particle" : "", "family" : "Turnbull", "given" : "A. D.", "non-dropping-particle" : "", "parse-names" : false, "suffix" : "" } ], "container-title" : "Physics of Plasmas", "id" : "ITEM-1", "issue" : "10", "issued" : { "date-parts" : [ [ "2002" ] ] }, "page" : "4205", "title" : "Simulation of neoclassical tearing modes (NTMs) in the DIII-D tokamak. I. NTM excitation", "type" : "article-journal", "volume" : "9" }, "uris" : [ "http://www.mendeley.com/documents/?uuid=87cd3727-f449-4232-836f-18e8626a6423" ] }, { "id" : "ITEM-2", "itemData" : { "DOI" : "10.1088/0029-5515/47/5/001", "ISSN" : "0029-5515", "abstract" : "The m = 2/ n = 1 neoclassical tearing mode ({NTM}) has been observed to strongly degrade confinement and frequently lead to a disruption in high \u03b2 discharges in {DIII-D} if allowed to grow to a large size. Stabilization of grown {NTM}s by the application of a highly localized electron cyclotron current drive ({ECCD}) at the island location has led to operation at an increased plasma pressure, up to the no-wall kink limit. After the {NTM} is stabilized by the {ECCD}, the correct location for the current drive is maintained using information from real-time equilibrium reconstructions which include measurements from the motional Stark effect diagnostic. This same process is used alternatively to prevent the mode from ever growing, leading to performance at the pressure limit in high performance hybrid discharges with \u03b2 above 4%. Modelling using the modified Rutherford equation shows that the required power is in close agreement with the experimental threshold for the prevention of the 2/1 {NTM}.", "author" : [ { "dropping-particle" : "", "family" : "Prater", "given" : "R", "non-dropping-particle" : "", "parse-names" : false, "suffix" : "" }, { "dropping-particle" : "La", "family" : "Haye", "given" : "R J", "non-dropping-particle" : "", "parse-names" : false, "suffix" : "" }, { "dropping-particle" : "", "family" : "Luce", "given" : "T C", "non-dropping-particle" : "", "parse-names" : false, "suffix" : "" }, { "dropping-particle" : "", "family" : "Petty", "given" : "C C", "non-dropping-particle" : "", "parse-names" : false, "suffix" : "" }, { "dropping-particle" : "", "family" : "Strait", "given" : "E J", "non-dropping-particle" : "", "parse-names" : false, "suffix" : "" }, { "dropping-particle" : "", "family" : "Ferron", "given" : "J R", "non-dropping-particle" : "", "parse-names" : false, "suffix" : "" }, { "dropping-particle" : "", "family" : "Humphreys", "given" : "D A", "non-dropping-particle" : "", "parse-names" : false, "suffix" : "" }, { "dropping-particle" : "", "family" : "Isayama", "given" : "A", "non-dropping-particle" : "", "parse-names" : false, "suffix" : "" }, { "dropping-particle" : "", "family" : "Lohr", "given" : "J", "non-dropping-particle" : "", "parse-names" : false, "suffix" : "" }, { "dropping-particle" : "", "family" : "Nagasaki", "given" : "K", "non-dropping-particle" : "", "parse-names" : false, "suffix" : "" }, { "dropping-particle" : "", "family" : "Politzer", "given" : "P A", "non-dropping-particle" : "", "parse-names" : false, "suffix" : "" }, { "dropping-particle" : "", "family" : "Wade", "given" : "M R", "non-dropping-particle" : "", "parse-names" : false, "suffix" : "" }, { "dropping-particle" : "", "family" : "Welander", "given" : "A S", "non-dropping-particle" : "", "parse-names" : false, "suffix" : "" } ], "container-title" : "Nuclear Fusion", "id" : "ITEM-2", "issue" : "5", "issued" : { "date-parts" : [ [ "2007" ] ] }, "page" : "371", "title" : "Stabilization and prevention of the 2/1 neoclassical tearing mode for improved performance in {DIII-D}", "type" : "article-journal", "volume" : "47" }, "uris" : [ "http://www.mendeley.com/documents/?uuid=1e640399-476f-4e8c-8c7a-4cc4fb32e0af" ] } ], "mendeley" : { "formattedCitation" : "&lt;sup&gt;1,2&lt;/sup&gt;", "plainTextFormattedCitation" : "1,2", "previouslyFormattedCitation" : "&lt;sup&gt;1,2&lt;/sup&gt;" }, "properties" : { "noteIndex" : 0 }, "schema" : "https://github.com/citation-style-language/schema/raw/master/csl-citation.json" }</w:instrText>
      </w:r>
      <w:r w:rsidR="00E539BF" w:rsidRPr="00520833">
        <w:rPr>
          <w:rFonts w:ascii="Times New Roman" w:hAnsi="Times New Roman" w:cs="Times New Roman"/>
          <w:sz w:val="24"/>
        </w:rPr>
        <w:fldChar w:fldCharType="separate"/>
      </w:r>
      <w:r w:rsidR="00E539BF" w:rsidRPr="00520833">
        <w:rPr>
          <w:rFonts w:ascii="Times New Roman" w:hAnsi="Times New Roman" w:cs="Times New Roman"/>
          <w:noProof/>
          <w:sz w:val="24"/>
          <w:vertAlign w:val="superscript"/>
        </w:rPr>
        <w:t>1,2</w:t>
      </w:r>
      <w:r w:rsidR="00E539BF" w:rsidRPr="00520833">
        <w:rPr>
          <w:rFonts w:ascii="Times New Roman" w:hAnsi="Times New Roman" w:cs="Times New Roman"/>
          <w:sz w:val="24"/>
        </w:rPr>
        <w:fldChar w:fldCharType="end"/>
      </w:r>
      <w:r w:rsidR="005F7846">
        <w:rPr>
          <w:rFonts w:ascii="Times New Roman" w:hAnsi="Times New Roman" w:cs="Times New Roman"/>
          <w:sz w:val="24"/>
        </w:rPr>
        <w:t xml:space="preserve">. </w:t>
      </w:r>
      <w:r w:rsidR="00D65922">
        <w:rPr>
          <w:rFonts w:ascii="Times New Roman" w:hAnsi="Times New Roman" w:cs="Times New Roman"/>
          <w:sz w:val="24"/>
        </w:rPr>
        <w:t>Each shot in our sample set had a steady n=2 neoclassical tearing mode (NTM) instability throughout the entire 200 ms time window</w:t>
      </w:r>
      <w:r w:rsidR="00CD6C8B">
        <w:rPr>
          <w:rFonts w:ascii="Times New Roman" w:hAnsi="Times New Roman" w:cs="Times New Roman"/>
          <w:sz w:val="24"/>
        </w:rPr>
        <w:t xml:space="preserve"> (F</w:t>
      </w:r>
      <w:r w:rsidR="00797862">
        <w:rPr>
          <w:rFonts w:ascii="Times New Roman" w:hAnsi="Times New Roman" w:cs="Times New Roman"/>
          <w:sz w:val="24"/>
        </w:rPr>
        <w:t>igure [~]</w:t>
      </w:r>
      <w:r w:rsidR="00CD6C8B">
        <w:rPr>
          <w:rFonts w:ascii="Times New Roman" w:hAnsi="Times New Roman" w:cs="Times New Roman"/>
          <w:sz w:val="24"/>
        </w:rPr>
        <w:t xml:space="preserve">.2).  </w:t>
      </w:r>
    </w:p>
    <w:p w14:paraId="241A89B4" w14:textId="0F9B6BC9" w:rsidR="00B664C8" w:rsidRDefault="00797862" w:rsidP="008F1FEC">
      <w:pPr>
        <w:jc w:val="both"/>
        <w:rPr>
          <w:rFonts w:ascii="Times New Roman" w:hAnsi="Times New Roman" w:cs="Times New Roman"/>
          <w:sz w:val="24"/>
        </w:rPr>
      </w:pPr>
      <w:r>
        <w:rPr>
          <w:rFonts w:ascii="Times New Roman" w:hAnsi="Times New Roman" w:cs="Times New Roman"/>
          <w:sz w:val="24"/>
        </w:rPr>
        <w:t>On the left two graphs of figure [~].2, the dark blue n=2 region represents a steady NTM. On the right two graphs of figure [~].2, we can see that the corresponding n=2 points are grouped into red and green clusters. [I’m planning to go through and try to find out why the NTM is being split into two clusters and resolve it.]</w:t>
      </w:r>
      <w:bookmarkStart w:id="0" w:name="_GoBack"/>
      <w:bookmarkEnd w:id="0"/>
    </w:p>
    <w:p w14:paraId="292181AE" w14:textId="77777777" w:rsidR="00B664C8" w:rsidRDefault="00B664C8" w:rsidP="00520833">
      <w:pPr>
        <w:rPr>
          <w:rFonts w:ascii="Times New Roman" w:hAnsi="Times New Roman" w:cs="Times New Roman"/>
          <w:sz w:val="24"/>
        </w:rPr>
      </w:pPr>
    </w:p>
    <w:p w14:paraId="0578A809" w14:textId="77777777" w:rsidR="00B664C8" w:rsidRDefault="00B664C8" w:rsidP="00520833">
      <w:pPr>
        <w:rPr>
          <w:rFonts w:ascii="Times New Roman" w:hAnsi="Times New Roman" w:cs="Times New Roman"/>
          <w:sz w:val="24"/>
        </w:rPr>
      </w:pPr>
    </w:p>
    <w:p w14:paraId="00D3211D" w14:textId="77777777" w:rsidR="00B664C8" w:rsidRDefault="00B664C8" w:rsidP="00520833">
      <w:pPr>
        <w:rPr>
          <w:rFonts w:ascii="Times New Roman" w:hAnsi="Times New Roman" w:cs="Times New Roman"/>
          <w:sz w:val="24"/>
        </w:rPr>
      </w:pPr>
    </w:p>
    <w:p w14:paraId="3EA9FFB8" w14:textId="77777777" w:rsidR="00B664C8" w:rsidRDefault="00B664C8" w:rsidP="00520833">
      <w:pPr>
        <w:rPr>
          <w:rFonts w:ascii="Times New Roman" w:hAnsi="Times New Roman" w:cs="Times New Roman"/>
          <w:sz w:val="24"/>
        </w:rPr>
      </w:pPr>
    </w:p>
    <w:p w14:paraId="1AC419CD" w14:textId="77777777" w:rsidR="00B664C8" w:rsidRDefault="00B664C8" w:rsidP="00520833">
      <w:pPr>
        <w:rPr>
          <w:rFonts w:ascii="Times New Roman" w:hAnsi="Times New Roman" w:cs="Times New Roman"/>
          <w:sz w:val="24"/>
        </w:rPr>
      </w:pPr>
    </w:p>
    <w:p w14:paraId="701E9840" w14:textId="77777777" w:rsidR="00B664C8" w:rsidRDefault="00B664C8" w:rsidP="00520833">
      <w:pPr>
        <w:rPr>
          <w:rFonts w:ascii="Times New Roman" w:hAnsi="Times New Roman" w:cs="Times New Roman"/>
          <w:sz w:val="24"/>
        </w:rPr>
      </w:pPr>
    </w:p>
    <w:p w14:paraId="60C3B3BA" w14:textId="77777777" w:rsidR="00B664C8" w:rsidRDefault="00B664C8" w:rsidP="00520833">
      <w:pPr>
        <w:rPr>
          <w:rFonts w:ascii="Times New Roman" w:hAnsi="Times New Roman" w:cs="Times New Roman"/>
          <w:sz w:val="24"/>
        </w:rPr>
      </w:pPr>
    </w:p>
    <w:p w14:paraId="4ED2D6BD" w14:textId="77777777" w:rsidR="00B664C8" w:rsidRDefault="00B664C8" w:rsidP="00520833">
      <w:pPr>
        <w:rPr>
          <w:rFonts w:ascii="Times New Roman" w:hAnsi="Times New Roman" w:cs="Times New Roman"/>
          <w:sz w:val="24"/>
        </w:rPr>
      </w:pPr>
    </w:p>
    <w:p w14:paraId="0984E748" w14:textId="77777777" w:rsidR="00B664C8" w:rsidRDefault="00B664C8" w:rsidP="00520833">
      <w:pPr>
        <w:rPr>
          <w:rFonts w:ascii="Times New Roman" w:hAnsi="Times New Roman" w:cs="Times New Roman"/>
          <w:sz w:val="24"/>
        </w:rPr>
      </w:pPr>
    </w:p>
    <w:p w14:paraId="4AA967BC" w14:textId="77777777" w:rsidR="00B664C8" w:rsidRDefault="00B664C8" w:rsidP="00520833">
      <w:pPr>
        <w:rPr>
          <w:rFonts w:ascii="Times New Roman" w:hAnsi="Times New Roman" w:cs="Times New Roman"/>
          <w:sz w:val="24"/>
        </w:rPr>
      </w:pPr>
    </w:p>
    <w:p w14:paraId="5FFD6213" w14:textId="77777777" w:rsidR="00B664C8" w:rsidRDefault="00B664C8" w:rsidP="00520833">
      <w:pPr>
        <w:rPr>
          <w:rFonts w:ascii="Times New Roman" w:hAnsi="Times New Roman" w:cs="Times New Roman"/>
          <w:sz w:val="24"/>
        </w:rPr>
      </w:pPr>
    </w:p>
    <w:p w14:paraId="16A85762" w14:textId="77777777" w:rsidR="00B664C8" w:rsidRDefault="00B664C8" w:rsidP="00520833">
      <w:pPr>
        <w:rPr>
          <w:rFonts w:ascii="Times New Roman" w:hAnsi="Times New Roman" w:cs="Times New Roman"/>
          <w:sz w:val="24"/>
        </w:rPr>
      </w:pPr>
    </w:p>
    <w:p w14:paraId="532D1455" w14:textId="77777777" w:rsidR="00B664C8" w:rsidRDefault="00B664C8" w:rsidP="00520833">
      <w:pPr>
        <w:rPr>
          <w:rFonts w:ascii="Times New Roman" w:hAnsi="Times New Roman" w:cs="Times New Roman"/>
          <w:sz w:val="24"/>
        </w:rPr>
      </w:pPr>
    </w:p>
    <w:p w14:paraId="0371D088" w14:textId="77777777" w:rsidR="00B664C8" w:rsidRDefault="00B664C8" w:rsidP="00520833">
      <w:pPr>
        <w:rPr>
          <w:rFonts w:ascii="Times New Roman" w:hAnsi="Times New Roman" w:cs="Times New Roman"/>
          <w:sz w:val="24"/>
        </w:rPr>
      </w:pPr>
    </w:p>
    <w:p w14:paraId="4059A81B" w14:textId="77777777" w:rsidR="00B664C8" w:rsidRDefault="00B664C8" w:rsidP="00520833">
      <w:pPr>
        <w:rPr>
          <w:rFonts w:ascii="Times New Roman" w:hAnsi="Times New Roman" w:cs="Times New Roman"/>
          <w:sz w:val="24"/>
        </w:rPr>
      </w:pPr>
    </w:p>
    <w:p w14:paraId="4A92DE36" w14:textId="77777777" w:rsidR="00B664C8" w:rsidRDefault="00B664C8" w:rsidP="00520833">
      <w:pPr>
        <w:rPr>
          <w:rFonts w:ascii="Times New Roman" w:hAnsi="Times New Roman" w:cs="Times New Roman"/>
          <w:sz w:val="24"/>
        </w:rPr>
      </w:pPr>
    </w:p>
    <w:p w14:paraId="7F63A59D" w14:textId="77777777" w:rsidR="00B664C8" w:rsidRDefault="00B664C8" w:rsidP="00520833">
      <w:pPr>
        <w:rPr>
          <w:rFonts w:ascii="Times New Roman" w:hAnsi="Times New Roman" w:cs="Times New Roman"/>
          <w:sz w:val="24"/>
        </w:rPr>
      </w:pPr>
    </w:p>
    <w:p w14:paraId="2CD57CBC" w14:textId="77777777" w:rsidR="00B664C8" w:rsidRDefault="00B664C8" w:rsidP="00520833">
      <w:pPr>
        <w:rPr>
          <w:rFonts w:ascii="Times New Roman" w:hAnsi="Times New Roman" w:cs="Times New Roman"/>
          <w:sz w:val="24"/>
        </w:rPr>
      </w:pPr>
    </w:p>
    <w:p w14:paraId="151F0626" w14:textId="77777777" w:rsidR="00B664C8" w:rsidRDefault="00B664C8" w:rsidP="00520833">
      <w:pPr>
        <w:rPr>
          <w:rFonts w:ascii="Times New Roman" w:hAnsi="Times New Roman" w:cs="Times New Roman"/>
          <w:sz w:val="24"/>
        </w:rPr>
      </w:pPr>
    </w:p>
    <w:p w14:paraId="623BAF14" w14:textId="77777777" w:rsidR="00B664C8" w:rsidRDefault="00B664C8" w:rsidP="00520833">
      <w:pPr>
        <w:rPr>
          <w:rFonts w:ascii="Times New Roman" w:hAnsi="Times New Roman" w:cs="Times New Roman"/>
          <w:sz w:val="24"/>
        </w:rPr>
      </w:pPr>
    </w:p>
    <w:p w14:paraId="4DB7AE4D" w14:textId="41910408" w:rsidR="0067512D" w:rsidRDefault="0067512D">
      <w:pPr>
        <w:rPr>
          <w:rFonts w:ascii="Times New Roman" w:hAnsi="Times New Roman" w:cs="Times New Roman"/>
          <w:sz w:val="24"/>
        </w:rPr>
      </w:pPr>
    </w:p>
    <w:p w14:paraId="091F1B3A" w14:textId="4DE7C6ED" w:rsidR="00502FE8" w:rsidRPr="00520833" w:rsidRDefault="00502FE8" w:rsidP="00754862">
      <w:pPr>
        <w:pStyle w:val="Caption"/>
        <w:framePr w:w="8964" w:h="661" w:hRule="exact" w:hSpace="180" w:wrap="around" w:vAnchor="text" w:hAnchor="page" w:x="1621" w:y="6031"/>
        <w:jc w:val="both"/>
        <w:rPr>
          <w:rFonts w:ascii="Times New Roman" w:hAnsi="Times New Roman" w:cs="Times New Roman"/>
          <w:i w:val="0"/>
          <w:color w:val="auto"/>
        </w:rPr>
      </w:pPr>
      <w:r>
        <w:rPr>
          <w:rFonts w:ascii="Times New Roman" w:hAnsi="Times New Roman" w:cs="Times New Roman"/>
          <w:b/>
          <w:i w:val="0"/>
          <w:color w:val="auto"/>
        </w:rPr>
        <w:t xml:space="preserve">Figure </w:t>
      </w:r>
      <w:r w:rsidR="00797862">
        <w:rPr>
          <w:rFonts w:ascii="Times New Roman" w:hAnsi="Times New Roman" w:cs="Times New Roman"/>
          <w:b/>
          <w:i w:val="0"/>
          <w:color w:val="auto"/>
        </w:rPr>
        <w:t>[~]</w:t>
      </w:r>
      <w:r w:rsidR="009F1A5C">
        <w:rPr>
          <w:rFonts w:ascii="Times New Roman" w:hAnsi="Times New Roman" w:cs="Times New Roman"/>
          <w:b/>
          <w:i w:val="0"/>
          <w:color w:val="auto"/>
        </w:rPr>
        <w:t xml:space="preserve">.2: </w:t>
      </w:r>
      <w:r w:rsidR="00754862">
        <w:rPr>
          <w:rFonts w:ascii="Times New Roman" w:hAnsi="Times New Roman" w:cs="Times New Roman"/>
          <w:i w:val="0"/>
          <w:color w:val="auto"/>
        </w:rPr>
        <w:t xml:space="preserve">A graphical comparison of two shots from our sample set. </w:t>
      </w:r>
      <w:r w:rsidR="009F1A5C">
        <w:rPr>
          <w:rFonts w:ascii="Times New Roman" w:hAnsi="Times New Roman" w:cs="Times New Roman"/>
          <w:i w:val="0"/>
          <w:color w:val="auto"/>
        </w:rPr>
        <w:t>Plots of calculated toroidal mode number (left) and plots of different clusters as determined by PyFusion</w:t>
      </w:r>
      <w:r w:rsidR="00797862">
        <w:rPr>
          <w:rFonts w:ascii="Times New Roman" w:hAnsi="Times New Roman" w:cs="Times New Roman"/>
          <w:i w:val="0"/>
          <w:color w:val="auto"/>
        </w:rPr>
        <w:t xml:space="preserve"> over a spectogram</w:t>
      </w:r>
      <w:r w:rsidR="009F1A5C">
        <w:rPr>
          <w:rFonts w:ascii="Times New Roman" w:hAnsi="Times New Roman" w:cs="Times New Roman"/>
          <w:i w:val="0"/>
          <w:color w:val="auto"/>
        </w:rPr>
        <w:t xml:space="preserve"> (right). Different colors on the right represent different clusters. (** Remake this plot since it doesn’t look very nice…**)</w:t>
      </w:r>
    </w:p>
    <w:p w14:paraId="26B872DA" w14:textId="731979D8" w:rsidR="00B664C8" w:rsidRDefault="005F7846">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14:anchorId="67404E98" wp14:editId="5D7DC234">
            <wp:simplePos x="0" y="0"/>
            <wp:positionH relativeFrom="margin">
              <wp:posOffset>3181350</wp:posOffset>
            </wp:positionH>
            <wp:positionV relativeFrom="paragraph">
              <wp:posOffset>1780540</wp:posOffset>
            </wp:positionV>
            <wp:extent cx="2743200" cy="20669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3072-clust.png"/>
                    <pic:cNvPicPr/>
                  </pic:nvPicPr>
                  <pic:blipFill>
                    <a:blip r:embed="rId6">
                      <a:extLst>
                        <a:ext uri="{28A0092B-C50C-407E-A947-70E740481C1C}">
                          <a14:useLocalDpi xmlns:a14="http://schemas.microsoft.com/office/drawing/2010/main" val="0"/>
                        </a:ext>
                      </a:extLst>
                    </a:blip>
                    <a:stretch>
                      <a:fillRect/>
                    </a:stretch>
                  </pic:blipFill>
                  <pic:spPr>
                    <a:xfrm>
                      <a:off x="0" y="0"/>
                      <a:ext cx="2743200" cy="2066925"/>
                    </a:xfrm>
                    <a:prstGeom prst="rect">
                      <a:avLst/>
                    </a:prstGeom>
                  </pic:spPr>
                </pic:pic>
              </a:graphicData>
            </a:graphic>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0288" behindDoc="0" locked="0" layoutInCell="1" allowOverlap="1" wp14:anchorId="22B39E26" wp14:editId="1DA3C264">
            <wp:simplePos x="0" y="0"/>
            <wp:positionH relativeFrom="margin">
              <wp:posOffset>3116580</wp:posOffset>
            </wp:positionH>
            <wp:positionV relativeFrom="paragraph">
              <wp:posOffset>-266700</wp:posOffset>
            </wp:positionV>
            <wp:extent cx="2743200" cy="1976438"/>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3071-clust.png"/>
                    <pic:cNvPicPr/>
                  </pic:nvPicPr>
                  <pic:blipFill>
                    <a:blip r:embed="rId7">
                      <a:extLst>
                        <a:ext uri="{28A0092B-C50C-407E-A947-70E740481C1C}">
                          <a14:useLocalDpi xmlns:a14="http://schemas.microsoft.com/office/drawing/2010/main" val="0"/>
                        </a:ext>
                      </a:extLst>
                    </a:blip>
                    <a:stretch>
                      <a:fillRect/>
                    </a:stretch>
                  </pic:blipFill>
                  <pic:spPr>
                    <a:xfrm>
                      <a:off x="0" y="0"/>
                      <a:ext cx="2743200" cy="1976438"/>
                    </a:xfrm>
                    <a:prstGeom prst="rect">
                      <a:avLst/>
                    </a:prstGeom>
                  </pic:spPr>
                </pic:pic>
              </a:graphicData>
            </a:graphic>
            <wp14:sizeRelV relativeFrom="margin">
              <wp14:pctHeight>0</wp14:pctHeight>
            </wp14:sizeRelV>
          </wp:anchor>
        </w:drawing>
      </w:r>
      <w:r w:rsidR="0067512D" w:rsidRPr="0067512D">
        <w:rPr>
          <w:rFonts w:ascii="Times New Roman" w:hAnsi="Times New Roman" w:cs="Times New Roman"/>
          <w:noProof/>
          <w:sz w:val="24"/>
        </w:rPr>
        <mc:AlternateContent>
          <mc:Choice Requires="wps">
            <w:drawing>
              <wp:anchor distT="45720" distB="45720" distL="114300" distR="114300" simplePos="0" relativeHeight="251657215" behindDoc="0" locked="0" layoutInCell="1" allowOverlap="1" wp14:anchorId="4D97C4DA" wp14:editId="0F230ADD">
                <wp:simplePos x="0" y="0"/>
                <wp:positionH relativeFrom="column">
                  <wp:posOffset>121207</wp:posOffset>
                </wp:positionH>
                <wp:positionV relativeFrom="paragraph">
                  <wp:posOffset>1817813</wp:posOffset>
                </wp:positionV>
                <wp:extent cx="457200" cy="262698"/>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2698"/>
                        </a:xfrm>
                        <a:prstGeom prst="rect">
                          <a:avLst/>
                        </a:prstGeom>
                        <a:solidFill>
                          <a:srgbClr val="FFFFFF"/>
                        </a:solidFill>
                        <a:ln w="9525">
                          <a:noFill/>
                          <a:miter lim="800000"/>
                          <a:headEnd/>
                          <a:tailEnd/>
                        </a:ln>
                      </wps:spPr>
                      <wps:txbx>
                        <w:txbxContent>
                          <w:p w14:paraId="6678FBC7" w14:textId="74AE59B0" w:rsidR="0067512D" w:rsidRPr="0067512D" w:rsidRDefault="0067512D">
                            <w:pPr>
                              <w:rPr>
                                <w:rFonts w:ascii="Times New Roman" w:hAnsi="Times New Roman" w:cs="Times New Roman"/>
                              </w:rPr>
                            </w:pPr>
                            <w:r w:rsidRPr="0067512D">
                              <w:rPr>
                                <w:rFonts w:ascii="Times New Roman" w:hAnsi="Times New Roman" w:cs="Times New Roman"/>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7C4DA" id="_x0000_t202" coordsize="21600,21600" o:spt="202" path="m,l,21600r21600,l21600,xe">
                <v:stroke joinstyle="miter"/>
                <v:path gradientshapeok="t" o:connecttype="rect"/>
              </v:shapetype>
              <v:shape id="Text Box 2" o:spid="_x0000_s1026" type="#_x0000_t202" style="position:absolute;margin-left:9.55pt;margin-top:143.15pt;width:36pt;height:20.7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" stroked="f">
                <v:textbox>
                  <w:txbxContent>
                    <w:p w14:paraId="6678FBC7" w14:textId="74AE59B0" w:rsidR="0067512D" w:rsidRPr="0067512D" w:rsidRDefault="0067512D">
                      <w:pPr>
                        <w:rPr>
                          <w:rFonts w:ascii="Times New Roman" w:hAnsi="Times New Roman" w:cs="Times New Roman"/>
                        </w:rPr>
                      </w:pPr>
                      <w:r w:rsidRPr="0067512D">
                        <w:rPr>
                          <w:rFonts w:ascii="Times New Roman" w:hAnsi="Times New Roman" w:cs="Times New Roman"/>
                        </w:rPr>
                        <w:t xml:space="preserve"> n=</w:t>
                      </w:r>
                    </w:p>
                  </w:txbxContent>
                </v:textbox>
              </v:shape>
            </w:pict>
          </mc:Fallback>
        </mc:AlternateContent>
      </w:r>
      <w:r w:rsidR="0067512D">
        <w:rPr>
          <w:rFonts w:ascii="Times New Roman" w:hAnsi="Times New Roman" w:cs="Times New Roman"/>
          <w:noProof/>
          <w:sz w:val="24"/>
        </w:rPr>
        <w:drawing>
          <wp:anchor distT="0" distB="0" distL="114300" distR="114300" simplePos="0" relativeHeight="251662336" behindDoc="0" locked="0" layoutInCell="1" allowOverlap="1" wp14:anchorId="0FE06123" wp14:editId="3F5C19A4">
            <wp:simplePos x="0" y="0"/>
            <wp:positionH relativeFrom="column">
              <wp:posOffset>414020</wp:posOffset>
            </wp:positionH>
            <wp:positionV relativeFrom="paragraph">
              <wp:posOffset>1866265</wp:posOffset>
            </wp:positionV>
            <wp:extent cx="2686685" cy="2133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codes.png"/>
                    <pic:cNvPicPr/>
                  </pic:nvPicPr>
                  <pic:blipFill rotWithShape="1">
                    <a:blip r:embed="rId8" cstate="print">
                      <a:extLst>
                        <a:ext uri="{28A0092B-C50C-407E-A947-70E740481C1C}">
                          <a14:useLocalDpi xmlns:a14="http://schemas.microsoft.com/office/drawing/2010/main" val="0"/>
                        </a:ext>
                      </a:extLst>
                    </a:blip>
                    <a:srcRect l="2038" t="1" b="-15305"/>
                    <a:stretch/>
                  </pic:blipFill>
                  <pic:spPr bwMode="auto">
                    <a:xfrm>
                      <a:off x="0" y="0"/>
                      <a:ext cx="2686685" cy="21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512D">
        <w:rPr>
          <w:rFonts w:ascii="Times New Roman" w:hAnsi="Times New Roman" w:cs="Times New Roman"/>
          <w:noProof/>
          <w:sz w:val="24"/>
        </w:rPr>
        <w:drawing>
          <wp:anchor distT="0" distB="0" distL="114300" distR="114300" simplePos="0" relativeHeight="251659264" behindDoc="0" locked="0" layoutInCell="1" allowOverlap="1" wp14:anchorId="285CD0C5" wp14:editId="2BF81B50">
            <wp:simplePos x="0" y="0"/>
            <wp:positionH relativeFrom="margin">
              <wp:align>left</wp:align>
            </wp:positionH>
            <wp:positionV relativeFrom="paragraph">
              <wp:posOffset>2071688</wp:posOffset>
            </wp:positionV>
            <wp:extent cx="3112731" cy="1762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072-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2731" cy="1762125"/>
                    </a:xfrm>
                    <a:prstGeom prst="rect">
                      <a:avLst/>
                    </a:prstGeom>
                  </pic:spPr>
                </pic:pic>
              </a:graphicData>
            </a:graphic>
            <wp14:sizeRelH relativeFrom="margin">
              <wp14:pctWidth>0</wp14:pctWidth>
            </wp14:sizeRelH>
            <wp14:sizeRelV relativeFrom="margin">
              <wp14:pctHeight>0</wp14:pctHeight>
            </wp14:sizeRelV>
          </wp:anchor>
        </w:drawing>
      </w:r>
      <w:r w:rsidR="00837A8E">
        <w:rPr>
          <w:rFonts w:ascii="Times New Roman" w:hAnsi="Times New Roman" w:cs="Times New Roman"/>
          <w:noProof/>
          <w:sz w:val="24"/>
        </w:rPr>
        <w:drawing>
          <wp:anchor distT="0" distB="0" distL="114300" distR="114300" simplePos="0" relativeHeight="251658240" behindDoc="1" locked="0" layoutInCell="1" allowOverlap="1" wp14:anchorId="38169363" wp14:editId="04929374">
            <wp:simplePos x="0" y="0"/>
            <wp:positionH relativeFrom="margin">
              <wp:align>left</wp:align>
            </wp:positionH>
            <wp:positionV relativeFrom="paragraph">
              <wp:posOffset>0</wp:posOffset>
            </wp:positionV>
            <wp:extent cx="3148013" cy="177622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3071-smal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013" cy="1776224"/>
                    </a:xfrm>
                    <a:prstGeom prst="rect">
                      <a:avLst/>
                    </a:prstGeom>
                  </pic:spPr>
                </pic:pic>
              </a:graphicData>
            </a:graphic>
            <wp14:sizeRelH relativeFrom="margin">
              <wp14:pctWidth>0</wp14:pctWidth>
            </wp14:sizeRelH>
            <wp14:sizeRelV relativeFrom="margin">
              <wp14:pctHeight>0</wp14:pctHeight>
            </wp14:sizeRelV>
          </wp:anchor>
        </w:drawing>
      </w:r>
      <w:r w:rsidR="00B664C8">
        <w:rPr>
          <w:rFonts w:ascii="Times New Roman" w:hAnsi="Times New Roman" w:cs="Times New Roman"/>
          <w:sz w:val="24"/>
        </w:rPr>
        <w:br w:type="page"/>
      </w:r>
    </w:p>
    <w:p w14:paraId="0D1ACDD8" w14:textId="77777777" w:rsidR="00E539BF" w:rsidRPr="00520833" w:rsidRDefault="00E539BF" w:rsidP="00520833">
      <w:pPr>
        <w:rPr>
          <w:rFonts w:ascii="Times New Roman" w:hAnsi="Times New Roman" w:cs="Times New Roman"/>
          <w:sz w:val="24"/>
        </w:rPr>
      </w:pPr>
      <w:r w:rsidRPr="00520833">
        <w:rPr>
          <w:rFonts w:ascii="Times New Roman" w:hAnsi="Times New Roman" w:cs="Times New Roman"/>
          <w:sz w:val="24"/>
        </w:rPr>
        <w:t>Bibliography</w:t>
      </w:r>
    </w:p>
    <w:p w14:paraId="5857973B" w14:textId="77777777" w:rsidR="00E539BF" w:rsidRPr="00520833" w:rsidRDefault="00E539BF" w:rsidP="00520833">
      <w:pPr>
        <w:widowControl w:val="0"/>
        <w:autoSpaceDE w:val="0"/>
        <w:autoSpaceDN w:val="0"/>
        <w:adjustRightInd w:val="0"/>
        <w:spacing w:line="240" w:lineRule="auto"/>
        <w:ind w:left="640" w:hanging="640"/>
        <w:rPr>
          <w:rFonts w:ascii="Times New Roman" w:hAnsi="Times New Roman" w:cs="Times New Roman"/>
          <w:noProof/>
          <w:sz w:val="24"/>
          <w:szCs w:val="24"/>
        </w:rPr>
      </w:pPr>
      <w:r w:rsidRPr="00520833">
        <w:rPr>
          <w:rFonts w:ascii="Times New Roman" w:hAnsi="Times New Roman" w:cs="Times New Roman"/>
          <w:sz w:val="24"/>
        </w:rPr>
        <w:fldChar w:fldCharType="begin" w:fldLock="1"/>
      </w:r>
      <w:r w:rsidRPr="00520833">
        <w:rPr>
          <w:rFonts w:ascii="Times New Roman" w:hAnsi="Times New Roman" w:cs="Times New Roman"/>
          <w:sz w:val="24"/>
        </w:rPr>
        <w:instrText xml:space="preserve">ADDIN Mendeley Bibliography CSL_BIBLIOGRAPHY </w:instrText>
      </w:r>
      <w:r w:rsidRPr="00520833">
        <w:rPr>
          <w:rFonts w:ascii="Times New Roman" w:hAnsi="Times New Roman" w:cs="Times New Roman"/>
          <w:sz w:val="24"/>
        </w:rPr>
        <w:fldChar w:fldCharType="separate"/>
      </w:r>
      <w:r w:rsidRPr="00520833">
        <w:rPr>
          <w:rFonts w:ascii="Times New Roman" w:hAnsi="Times New Roman" w:cs="Times New Roman"/>
          <w:noProof/>
          <w:sz w:val="24"/>
          <w:szCs w:val="24"/>
        </w:rPr>
        <w:t>1.</w:t>
      </w:r>
      <w:r w:rsidRPr="00520833">
        <w:rPr>
          <w:rFonts w:ascii="Times New Roman" w:hAnsi="Times New Roman" w:cs="Times New Roman"/>
          <w:noProof/>
          <w:sz w:val="24"/>
          <w:szCs w:val="24"/>
        </w:rPr>
        <w:tab/>
        <w:t xml:space="preserve">Popov, A. M. </w:t>
      </w:r>
      <w:r w:rsidRPr="00520833">
        <w:rPr>
          <w:rFonts w:ascii="Times New Roman" w:hAnsi="Times New Roman" w:cs="Times New Roman"/>
          <w:i/>
          <w:iCs/>
          <w:noProof/>
          <w:sz w:val="24"/>
          <w:szCs w:val="24"/>
        </w:rPr>
        <w:t>et al.</w:t>
      </w:r>
      <w:r w:rsidRPr="00520833">
        <w:rPr>
          <w:rFonts w:ascii="Times New Roman" w:hAnsi="Times New Roman" w:cs="Times New Roman"/>
          <w:noProof/>
          <w:sz w:val="24"/>
          <w:szCs w:val="24"/>
        </w:rPr>
        <w:t xml:space="preserve"> Simulation of neoclassical tearing modes (NTMs) in the DIII-D tokamak. I. NTM excitation. </w:t>
      </w:r>
      <w:r w:rsidRPr="00520833">
        <w:rPr>
          <w:rFonts w:ascii="Times New Roman" w:hAnsi="Times New Roman" w:cs="Times New Roman"/>
          <w:i/>
          <w:iCs/>
          <w:noProof/>
          <w:sz w:val="24"/>
          <w:szCs w:val="24"/>
        </w:rPr>
        <w:t>Phys. Plasmas</w:t>
      </w:r>
      <w:r w:rsidRPr="00520833">
        <w:rPr>
          <w:rFonts w:ascii="Times New Roman" w:hAnsi="Times New Roman" w:cs="Times New Roman"/>
          <w:noProof/>
          <w:sz w:val="24"/>
          <w:szCs w:val="24"/>
        </w:rPr>
        <w:t xml:space="preserve"> </w:t>
      </w:r>
      <w:r w:rsidRPr="00520833">
        <w:rPr>
          <w:rFonts w:ascii="Times New Roman" w:hAnsi="Times New Roman" w:cs="Times New Roman"/>
          <w:b/>
          <w:bCs/>
          <w:noProof/>
          <w:sz w:val="24"/>
          <w:szCs w:val="24"/>
        </w:rPr>
        <w:t>9,</w:t>
      </w:r>
      <w:r w:rsidRPr="00520833">
        <w:rPr>
          <w:rFonts w:ascii="Times New Roman" w:hAnsi="Times New Roman" w:cs="Times New Roman"/>
          <w:noProof/>
          <w:sz w:val="24"/>
          <w:szCs w:val="24"/>
        </w:rPr>
        <w:t xml:space="preserve"> 4205 (2002).</w:t>
      </w:r>
    </w:p>
    <w:p w14:paraId="3351A261" w14:textId="77777777" w:rsidR="00E539BF" w:rsidRPr="00520833" w:rsidRDefault="00E539BF" w:rsidP="00520833">
      <w:pPr>
        <w:widowControl w:val="0"/>
        <w:autoSpaceDE w:val="0"/>
        <w:autoSpaceDN w:val="0"/>
        <w:adjustRightInd w:val="0"/>
        <w:spacing w:line="240" w:lineRule="auto"/>
        <w:ind w:left="640" w:hanging="640"/>
        <w:rPr>
          <w:rFonts w:ascii="Times New Roman" w:hAnsi="Times New Roman" w:cs="Times New Roman"/>
          <w:noProof/>
          <w:sz w:val="24"/>
        </w:rPr>
      </w:pPr>
      <w:r w:rsidRPr="00520833">
        <w:rPr>
          <w:rFonts w:ascii="Times New Roman" w:hAnsi="Times New Roman" w:cs="Times New Roman"/>
          <w:noProof/>
          <w:sz w:val="24"/>
          <w:szCs w:val="24"/>
        </w:rPr>
        <w:t>2.</w:t>
      </w:r>
      <w:r w:rsidRPr="00520833">
        <w:rPr>
          <w:rFonts w:ascii="Times New Roman" w:hAnsi="Times New Roman" w:cs="Times New Roman"/>
          <w:noProof/>
          <w:sz w:val="24"/>
          <w:szCs w:val="24"/>
        </w:rPr>
        <w:tab/>
        <w:t xml:space="preserve">Prater, R. </w:t>
      </w:r>
      <w:r w:rsidRPr="00520833">
        <w:rPr>
          <w:rFonts w:ascii="Times New Roman" w:hAnsi="Times New Roman" w:cs="Times New Roman"/>
          <w:i/>
          <w:iCs/>
          <w:noProof/>
          <w:sz w:val="24"/>
          <w:szCs w:val="24"/>
        </w:rPr>
        <w:t>et al.</w:t>
      </w:r>
      <w:r w:rsidRPr="00520833">
        <w:rPr>
          <w:rFonts w:ascii="Times New Roman" w:hAnsi="Times New Roman" w:cs="Times New Roman"/>
          <w:noProof/>
          <w:sz w:val="24"/>
          <w:szCs w:val="24"/>
        </w:rPr>
        <w:t xml:space="preserve"> Stabilization and prevention of the 2/1 neoclassical tearing mode for improved performance in {DIII-D}. </w:t>
      </w:r>
      <w:r w:rsidRPr="00520833">
        <w:rPr>
          <w:rFonts w:ascii="Times New Roman" w:hAnsi="Times New Roman" w:cs="Times New Roman"/>
          <w:i/>
          <w:iCs/>
          <w:noProof/>
          <w:sz w:val="24"/>
          <w:szCs w:val="24"/>
        </w:rPr>
        <w:t>Nucl. Fusion</w:t>
      </w:r>
      <w:r w:rsidRPr="00520833">
        <w:rPr>
          <w:rFonts w:ascii="Times New Roman" w:hAnsi="Times New Roman" w:cs="Times New Roman"/>
          <w:noProof/>
          <w:sz w:val="24"/>
          <w:szCs w:val="24"/>
        </w:rPr>
        <w:t xml:space="preserve"> </w:t>
      </w:r>
      <w:r w:rsidRPr="00520833">
        <w:rPr>
          <w:rFonts w:ascii="Times New Roman" w:hAnsi="Times New Roman" w:cs="Times New Roman"/>
          <w:b/>
          <w:bCs/>
          <w:noProof/>
          <w:sz w:val="24"/>
          <w:szCs w:val="24"/>
        </w:rPr>
        <w:t>47,</w:t>
      </w:r>
      <w:r w:rsidRPr="00520833">
        <w:rPr>
          <w:rFonts w:ascii="Times New Roman" w:hAnsi="Times New Roman" w:cs="Times New Roman"/>
          <w:noProof/>
          <w:sz w:val="24"/>
          <w:szCs w:val="24"/>
        </w:rPr>
        <w:t xml:space="preserve"> 371 (2007).</w:t>
      </w:r>
    </w:p>
    <w:p w14:paraId="5DCF24F3" w14:textId="77777777" w:rsidR="00E539BF" w:rsidRPr="00520833" w:rsidRDefault="00E539BF" w:rsidP="00520833">
      <w:pPr>
        <w:rPr>
          <w:rFonts w:ascii="Times New Roman" w:hAnsi="Times New Roman" w:cs="Times New Roman"/>
          <w:sz w:val="24"/>
          <w:vertAlign w:val="superscript"/>
        </w:rPr>
      </w:pPr>
      <w:r w:rsidRPr="00520833">
        <w:rPr>
          <w:rFonts w:ascii="Times New Roman" w:hAnsi="Times New Roman" w:cs="Times New Roman"/>
          <w:sz w:val="24"/>
        </w:rPr>
        <w:fldChar w:fldCharType="end"/>
      </w:r>
    </w:p>
    <w:sectPr w:rsidR="00E539BF" w:rsidRPr="00520833" w:rsidSect="00D2499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3049"/>
    <w:multiLevelType w:val="hybridMultilevel"/>
    <w:tmpl w:val="59D6F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763"/>
    <w:rsid w:val="001D3F1F"/>
    <w:rsid w:val="00225640"/>
    <w:rsid w:val="004D6763"/>
    <w:rsid w:val="00502FE8"/>
    <w:rsid w:val="0051191E"/>
    <w:rsid w:val="00520833"/>
    <w:rsid w:val="005F7846"/>
    <w:rsid w:val="00633F2B"/>
    <w:rsid w:val="0067512D"/>
    <w:rsid w:val="00754862"/>
    <w:rsid w:val="00797862"/>
    <w:rsid w:val="007F361A"/>
    <w:rsid w:val="00837A8E"/>
    <w:rsid w:val="008B3B74"/>
    <w:rsid w:val="008F1FEC"/>
    <w:rsid w:val="00965A4A"/>
    <w:rsid w:val="009F1A5C"/>
    <w:rsid w:val="00A85C37"/>
    <w:rsid w:val="00AB629E"/>
    <w:rsid w:val="00B664C8"/>
    <w:rsid w:val="00CD6C8B"/>
    <w:rsid w:val="00D24993"/>
    <w:rsid w:val="00D65922"/>
    <w:rsid w:val="00D83177"/>
    <w:rsid w:val="00E5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E673"/>
  <w15:chartTrackingRefBased/>
  <w15:docId w15:val="{3B3C217B-E6BE-468E-B641-A1496603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24993"/>
    <w:pPr>
      <w:spacing w:after="200" w:line="240" w:lineRule="auto"/>
    </w:pPr>
    <w:rPr>
      <w:i/>
      <w:iCs/>
      <w:color w:val="44546A" w:themeColor="text2"/>
      <w:sz w:val="18"/>
      <w:szCs w:val="18"/>
    </w:rPr>
  </w:style>
  <w:style w:type="paragraph" w:styleId="ListParagraph">
    <w:name w:val="List Paragraph"/>
    <w:basedOn w:val="Normal"/>
    <w:uiPriority w:val="34"/>
    <w:qFormat/>
    <w:rsid w:val="00520833"/>
    <w:pPr>
      <w:ind w:left="720"/>
      <w:contextualSpacing/>
    </w:pPr>
  </w:style>
  <w:style w:type="paragraph" w:styleId="BalloonText">
    <w:name w:val="Balloon Text"/>
    <w:basedOn w:val="Normal"/>
    <w:link w:val="BalloonTextChar"/>
    <w:uiPriority w:val="99"/>
    <w:semiHidden/>
    <w:unhideWhenUsed/>
    <w:rsid w:val="00B66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4EEC-8CC9-40A7-8033-049AD401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Gresl</dc:creator>
  <cp:keywords/>
  <dc:description/>
  <cp:lastModifiedBy>John Gresl</cp:lastModifiedBy>
  <cp:revision>6</cp:revision>
  <cp:lastPrinted>2017-02-01T10:56:00Z</cp:lastPrinted>
  <dcterms:created xsi:type="dcterms:W3CDTF">2017-02-01T09:05:00Z</dcterms:created>
  <dcterms:modified xsi:type="dcterms:W3CDTF">2017-02-01T11:57:00Z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3e30d658-93f5-3da6-9463-cf65d8869576</vt:lpwstr>
  </property>
  <property fmtid="{D5CDD505-2E9C-101B-9397-08002B2CF9AE}" pid="4" name="Mendeley Citation Style_1">
    <vt:lpwstr>http://www.zotero.org/styles/nature</vt:lpwstr>
  </property>
  <property fmtid="{D5CDD505-2E9C-101B-9397-08002B2CF9AE}" pid="5" name="Mendeley Recent Style Id 0_1">
    <vt:lpwstr>http://www.zotero.org/styles/american-physics-society</vt:lpwstr>
  </property>
  <property fmtid="{D5CDD505-2E9C-101B-9397-08002B2CF9AE}" pid="6" name="Mendeley Recent Style Name 0_1">
    <vt:lpwstr>American Physics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