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9133CE">
      <w:pPr>
        <w:jc w:val="center"/>
        <w:rPr>
          <w:b/>
          <w:bCs/>
          <w:sz w:val="28"/>
          <w:szCs w:val="28"/>
        </w:rPr>
      </w:pPr>
      <w:r>
        <w:rPr>
          <w:b/>
          <w:bCs/>
          <w:sz w:val="28"/>
          <w:szCs w:val="28"/>
        </w:rPr>
        <w:t>Syntexa Inc. Privacy Policy</w:t>
      </w:r>
    </w:p>
    <w:p w14:paraId="6071FAFA">
      <w:pPr>
        <w:rPr>
          <w:b/>
          <w:bCs/>
        </w:rPr>
      </w:pPr>
      <w:r>
        <w:rPr>
          <w:b/>
          <w:bCs/>
        </w:rPr>
        <w:t>About Your Privacy</w:t>
      </w:r>
    </w:p>
    <w:p w14:paraId="7E134510">
      <w:pPr>
        <w:rPr>
          <w:b/>
          <w:bCs/>
        </w:rPr>
      </w:pPr>
      <w:r>
        <w:rPr>
          <w:b/>
          <w:bCs/>
        </w:rPr>
        <w:t xml:space="preserve">Title: </w:t>
      </w:r>
      <w:r>
        <w:t>Doc 2</w:t>
      </w:r>
      <w:r>
        <w:rPr>
          <w:rFonts w:hint="default"/>
          <w:lang w:val="en-US"/>
        </w:rPr>
        <w:t>5</w:t>
      </w:r>
      <w:r>
        <w:t>005 Rev00</w:t>
      </w:r>
      <w:r>
        <w:rPr>
          <w:b/>
          <w:bCs/>
        </w:rPr>
        <w:t xml:space="preserve"> </w:t>
      </w:r>
      <w:r>
        <w:t>Syntexa Inc. Privacy Policy</w:t>
      </w:r>
    </w:p>
    <w:p w14:paraId="707D255F">
      <w:pPr>
        <w:rPr>
          <w:rFonts w:hint="default"/>
          <w:b/>
          <w:bCs/>
          <w:lang w:val="en-US"/>
        </w:rPr>
      </w:pPr>
      <w:r>
        <w:rPr>
          <w:b/>
          <w:bCs/>
        </w:rPr>
        <w:t>Date:</w:t>
      </w:r>
      <w:r>
        <w:t xml:space="preserve"> </w:t>
      </w:r>
      <w:r>
        <w:rPr>
          <w:rFonts w:hint="default"/>
          <w:lang w:val="en-US"/>
        </w:rPr>
        <w:t>January</w:t>
      </w:r>
      <w:r>
        <w:t xml:space="preserve"> 15, 202</w:t>
      </w:r>
      <w:r>
        <w:rPr>
          <w:rFonts w:hint="default"/>
          <w:lang w:val="en-US"/>
        </w:rPr>
        <w:t>5</w:t>
      </w:r>
    </w:p>
    <w:p w14:paraId="0C0FAEEB">
      <w:r>
        <w:t>Syntexa Inc. (“Syntexa,” “we,” or “our”) is committed to protecting and appropriately handling your personal information. This Privacy Policy explains how we collect, use, and share your personal information when you visit our website or use our software services.</w:t>
      </w:r>
    </w:p>
    <w:p w14:paraId="50B61528">
      <w:r>
        <w:t xml:space="preserve">The definition of </w:t>
      </w:r>
      <w:r>
        <w:rPr>
          <w:b/>
          <w:bCs/>
        </w:rPr>
        <w:t>personal information</w:t>
      </w:r>
      <w:r>
        <w:t xml:space="preserve"> may vary depending on applicable law. For example, in Europe, it includes all information that directly or indirectly identifies you, including “personal data” under the </w:t>
      </w:r>
      <w:r>
        <w:rPr>
          <w:b/>
          <w:bCs/>
        </w:rPr>
        <w:t>GDPR</w:t>
      </w:r>
      <w:r>
        <w:t>. Where applicable, this Privacy Policy explains your rights and how you can exercise them.</w:t>
      </w:r>
    </w:p>
    <w:p w14:paraId="74568AAD">
      <w:r>
        <w:t>We may update this Privacy Policy from time to time, and we encourage you to review it periodically.</w:t>
      </w:r>
    </w:p>
    <w:p w14:paraId="3713054F"/>
    <w:p w14:paraId="6FBF8847">
      <w:pPr>
        <w:rPr>
          <w:b/>
          <w:bCs/>
        </w:rPr>
      </w:pPr>
      <w:r>
        <w:rPr>
          <w:b/>
          <w:bCs/>
        </w:rPr>
        <w:t>1. Using Our Website and Services</w:t>
      </w:r>
    </w:p>
    <w:p w14:paraId="21DC112B">
      <w:r>
        <w:t xml:space="preserve">Please also review our </w:t>
      </w:r>
      <w:r>
        <w:rPr>
          <w:b/>
          <w:bCs/>
        </w:rPr>
        <w:t>Terms of Service</w:t>
      </w:r>
      <w:r>
        <w:t xml:space="preserve"> (Doc 2600) to understand the rules for using our website and software.</w:t>
      </w:r>
    </w:p>
    <w:p w14:paraId="128B5E63"/>
    <w:p w14:paraId="18368FE4"/>
    <w:p w14:paraId="6ECF48BA"/>
    <w:p w14:paraId="465F0C9B"/>
    <w:p w14:paraId="2FDC336C"/>
    <w:p w14:paraId="73BCBA42"/>
    <w:p w14:paraId="4EC0224B">
      <w:bookmarkStart w:id="0" w:name="_GoBack"/>
      <w:bookmarkEnd w:id="0"/>
    </w:p>
    <w:p w14:paraId="12E44285"/>
    <w:p w14:paraId="67225DCD"/>
    <w:p w14:paraId="321F457B"/>
    <w:p w14:paraId="07B0C58C">
      <w:pPr>
        <w:rPr>
          <w:b/>
          <w:bCs/>
        </w:rPr>
      </w:pPr>
      <w:r>
        <w:rPr>
          <w:b/>
          <w:bCs/>
        </w:rPr>
        <w:t>2. How We Use Your Personal Information</w:t>
      </w:r>
    </w:p>
    <w:p w14:paraId="23974D93">
      <w:r>
        <w:t>We collect and use your personal information to provide, maintain, and improve our services, communicate with you, and comply with legal obligations.</w:t>
      </w:r>
    </w:p>
    <w:tbl>
      <w:tblPr>
        <w:tblStyle w:val="12"/>
        <w:tblW w:w="0" w:type="auto"/>
        <w:tblCellSpacing w:w="15" w:type="dxa"/>
        <w:tblInd w:w="0" w:type="dxa"/>
        <w:tblLayout w:type="autofit"/>
        <w:tblCellMar>
          <w:top w:w="15" w:type="dxa"/>
          <w:left w:w="15" w:type="dxa"/>
          <w:bottom w:w="15" w:type="dxa"/>
          <w:right w:w="15" w:type="dxa"/>
        </w:tblCellMar>
      </w:tblPr>
      <w:tblGrid>
        <w:gridCol w:w="2705"/>
        <w:gridCol w:w="2491"/>
        <w:gridCol w:w="1649"/>
        <w:gridCol w:w="2605"/>
      </w:tblGrid>
      <w:tr w14:paraId="6F84D1BC">
        <w:tblPrEx>
          <w:tblCellMar>
            <w:top w:w="15" w:type="dxa"/>
            <w:left w:w="15" w:type="dxa"/>
            <w:bottom w:w="15" w:type="dxa"/>
            <w:right w:w="15" w:type="dxa"/>
          </w:tblCellMar>
        </w:tblPrEx>
        <w:trPr>
          <w:tblHeader/>
          <w:tblCellSpacing w:w="15" w:type="dxa"/>
        </w:trPr>
        <w:tc>
          <w:tcPr>
            <w:tcW w:w="0" w:type="auto"/>
            <w:tcBorders>
              <w:top w:val="single" w:color="auto" w:sz="4" w:space="0"/>
              <w:bottom w:val="single" w:color="auto" w:sz="4" w:space="0"/>
            </w:tcBorders>
            <w:vAlign w:val="center"/>
          </w:tcPr>
          <w:p w14:paraId="7E87BF57">
            <w:pPr>
              <w:rPr>
                <w:b/>
                <w:bCs/>
              </w:rPr>
            </w:pPr>
            <w:r>
              <w:rPr>
                <w:b/>
                <w:bCs/>
              </w:rPr>
              <w:t>Purpose</w:t>
            </w:r>
          </w:p>
        </w:tc>
        <w:tc>
          <w:tcPr>
            <w:tcW w:w="0" w:type="auto"/>
            <w:tcBorders>
              <w:top w:val="single" w:color="auto" w:sz="4" w:space="0"/>
              <w:bottom w:val="single" w:color="auto" w:sz="4" w:space="0"/>
            </w:tcBorders>
            <w:vAlign w:val="center"/>
          </w:tcPr>
          <w:p w14:paraId="38C45CA0">
            <w:pPr>
              <w:rPr>
                <w:b/>
                <w:bCs/>
              </w:rPr>
            </w:pPr>
            <w:r>
              <w:rPr>
                <w:b/>
                <w:bCs/>
              </w:rPr>
              <w:t>Types of Personal Information</w:t>
            </w:r>
          </w:p>
        </w:tc>
        <w:tc>
          <w:tcPr>
            <w:tcW w:w="0" w:type="auto"/>
            <w:tcBorders>
              <w:top w:val="single" w:color="auto" w:sz="4" w:space="0"/>
              <w:bottom w:val="single" w:color="auto" w:sz="4" w:space="0"/>
            </w:tcBorders>
            <w:vAlign w:val="center"/>
          </w:tcPr>
          <w:p w14:paraId="60222EE1">
            <w:pPr>
              <w:rPr>
                <w:b/>
                <w:bCs/>
              </w:rPr>
            </w:pPr>
            <w:r>
              <w:rPr>
                <w:b/>
                <w:bCs/>
              </w:rPr>
              <w:t>Legal Basis</w:t>
            </w:r>
          </w:p>
        </w:tc>
        <w:tc>
          <w:tcPr>
            <w:tcW w:w="0" w:type="auto"/>
            <w:tcBorders>
              <w:top w:val="single" w:color="auto" w:sz="4" w:space="0"/>
              <w:bottom w:val="single" w:color="auto" w:sz="4" w:space="0"/>
            </w:tcBorders>
            <w:vAlign w:val="center"/>
          </w:tcPr>
          <w:p w14:paraId="1A6D55E4">
            <w:pPr>
              <w:rPr>
                <w:b/>
                <w:bCs/>
              </w:rPr>
            </w:pPr>
            <w:r>
              <w:rPr>
                <w:b/>
                <w:bCs/>
              </w:rPr>
              <w:t>Details / Legitimate Interest</w:t>
            </w:r>
          </w:p>
        </w:tc>
      </w:tr>
      <w:tr w14:paraId="7F06A332">
        <w:tblPrEx>
          <w:tblCellMar>
            <w:top w:w="15" w:type="dxa"/>
            <w:left w:w="15" w:type="dxa"/>
            <w:bottom w:w="15" w:type="dxa"/>
            <w:right w:w="15" w:type="dxa"/>
          </w:tblCellMar>
        </w:tblPrEx>
        <w:trPr>
          <w:tblCellSpacing w:w="15" w:type="dxa"/>
        </w:trPr>
        <w:tc>
          <w:tcPr>
            <w:tcW w:w="0" w:type="auto"/>
            <w:vAlign w:val="center"/>
          </w:tcPr>
          <w:p w14:paraId="556F0531">
            <w:r>
              <w:t>To provide software subscription services</w:t>
            </w:r>
          </w:p>
        </w:tc>
        <w:tc>
          <w:tcPr>
            <w:tcW w:w="0" w:type="auto"/>
            <w:vAlign w:val="center"/>
          </w:tcPr>
          <w:p w14:paraId="1F271839">
            <w:r>
              <w:t>Identity data, contact details, financial data</w:t>
            </w:r>
          </w:p>
        </w:tc>
        <w:tc>
          <w:tcPr>
            <w:tcW w:w="0" w:type="auto"/>
            <w:vAlign w:val="center"/>
          </w:tcPr>
          <w:p w14:paraId="39D8FA01">
            <w:r>
              <w:t>Consent or contractual necessity</w:t>
            </w:r>
          </w:p>
        </w:tc>
        <w:tc>
          <w:tcPr>
            <w:tcW w:w="0" w:type="auto"/>
            <w:vAlign w:val="center"/>
          </w:tcPr>
          <w:p w14:paraId="53FBD426">
            <w:r>
              <w:t>To deliver the software you requested</w:t>
            </w:r>
          </w:p>
        </w:tc>
      </w:tr>
      <w:tr w14:paraId="22A0A39F">
        <w:tblPrEx>
          <w:tblCellMar>
            <w:top w:w="15" w:type="dxa"/>
            <w:left w:w="15" w:type="dxa"/>
            <w:bottom w:w="15" w:type="dxa"/>
            <w:right w:w="15" w:type="dxa"/>
          </w:tblCellMar>
        </w:tblPrEx>
        <w:trPr>
          <w:tblCellSpacing w:w="15" w:type="dxa"/>
        </w:trPr>
        <w:tc>
          <w:tcPr>
            <w:tcW w:w="0" w:type="auto"/>
            <w:vAlign w:val="center"/>
          </w:tcPr>
          <w:p w14:paraId="3CAFBCDC">
            <w:r>
              <w:t>To communicate with you (support, updates, non-marketing emails)</w:t>
            </w:r>
          </w:p>
        </w:tc>
        <w:tc>
          <w:tcPr>
            <w:tcW w:w="0" w:type="auto"/>
            <w:vAlign w:val="center"/>
          </w:tcPr>
          <w:p w14:paraId="3CED1BF7">
            <w:r>
              <w:t>Identity data, contact details</w:t>
            </w:r>
          </w:p>
        </w:tc>
        <w:tc>
          <w:tcPr>
            <w:tcW w:w="0" w:type="auto"/>
            <w:vAlign w:val="center"/>
          </w:tcPr>
          <w:p w14:paraId="6F56969D">
            <w:r>
              <w:t>Legitimate interest</w:t>
            </w:r>
          </w:p>
        </w:tc>
        <w:tc>
          <w:tcPr>
            <w:tcW w:w="0" w:type="auto"/>
            <w:vAlign w:val="center"/>
          </w:tcPr>
          <w:p w14:paraId="67DCF49A">
            <w:r>
              <w:t>To ensure smooth service and support</w:t>
            </w:r>
          </w:p>
        </w:tc>
      </w:tr>
      <w:tr w14:paraId="45C2BBD2">
        <w:tblPrEx>
          <w:tblCellMar>
            <w:top w:w="15" w:type="dxa"/>
            <w:left w:w="15" w:type="dxa"/>
            <w:bottom w:w="15" w:type="dxa"/>
            <w:right w:w="15" w:type="dxa"/>
          </w:tblCellMar>
        </w:tblPrEx>
        <w:trPr>
          <w:tblCellSpacing w:w="15" w:type="dxa"/>
        </w:trPr>
        <w:tc>
          <w:tcPr>
            <w:tcW w:w="0" w:type="auto"/>
            <w:vAlign w:val="center"/>
          </w:tcPr>
          <w:p w14:paraId="07B1BEEA">
            <w:r>
              <w:t>For marketing purposes (email or other media)</w:t>
            </w:r>
          </w:p>
        </w:tc>
        <w:tc>
          <w:tcPr>
            <w:tcW w:w="0" w:type="auto"/>
            <w:vAlign w:val="center"/>
          </w:tcPr>
          <w:p w14:paraId="48F5DAAB">
            <w:r>
              <w:t>Identity data, contact preferences</w:t>
            </w:r>
          </w:p>
        </w:tc>
        <w:tc>
          <w:tcPr>
            <w:tcW w:w="0" w:type="auto"/>
            <w:vAlign w:val="center"/>
          </w:tcPr>
          <w:p w14:paraId="1AD2ACC9">
            <w:r>
              <w:t>Consent or legitimate interest</w:t>
            </w:r>
          </w:p>
        </w:tc>
        <w:tc>
          <w:tcPr>
            <w:tcW w:w="0" w:type="auto"/>
            <w:vAlign w:val="center"/>
          </w:tcPr>
          <w:p w14:paraId="1F3B6C9E">
            <w:r>
              <w:t>To inform you about Syntexa offerings and updates</w:t>
            </w:r>
          </w:p>
        </w:tc>
      </w:tr>
      <w:tr w14:paraId="2AF5A0BE">
        <w:tblPrEx>
          <w:tblCellMar>
            <w:top w:w="15" w:type="dxa"/>
            <w:left w:w="15" w:type="dxa"/>
            <w:bottom w:w="15" w:type="dxa"/>
            <w:right w:w="15" w:type="dxa"/>
          </w:tblCellMar>
        </w:tblPrEx>
        <w:trPr>
          <w:tblCellSpacing w:w="15" w:type="dxa"/>
        </w:trPr>
        <w:tc>
          <w:tcPr>
            <w:tcW w:w="0" w:type="auto"/>
            <w:vAlign w:val="center"/>
          </w:tcPr>
          <w:p w14:paraId="5AAC39A2">
            <w:r>
              <w:t>To maintain, secure, and improve software</w:t>
            </w:r>
          </w:p>
        </w:tc>
        <w:tc>
          <w:tcPr>
            <w:tcW w:w="0" w:type="auto"/>
            <w:vAlign w:val="center"/>
          </w:tcPr>
          <w:p w14:paraId="1C2BED98">
            <w:r>
              <w:t>System data, usage data, audit logs</w:t>
            </w:r>
          </w:p>
        </w:tc>
        <w:tc>
          <w:tcPr>
            <w:tcW w:w="0" w:type="auto"/>
            <w:vAlign w:val="center"/>
          </w:tcPr>
          <w:p w14:paraId="5C46AFB7">
            <w:r>
              <w:t>Legitimate interest</w:t>
            </w:r>
          </w:p>
        </w:tc>
        <w:tc>
          <w:tcPr>
            <w:tcW w:w="0" w:type="auto"/>
            <w:vAlign w:val="center"/>
          </w:tcPr>
          <w:p w14:paraId="1ECFF4F8">
            <w:r>
              <w:t>To monitor performance, troubleshoot, and enhance our services</w:t>
            </w:r>
          </w:p>
        </w:tc>
      </w:tr>
      <w:tr w14:paraId="3734DA53">
        <w:tblPrEx>
          <w:tblCellMar>
            <w:top w:w="15" w:type="dxa"/>
            <w:left w:w="15" w:type="dxa"/>
            <w:bottom w:w="15" w:type="dxa"/>
            <w:right w:w="15" w:type="dxa"/>
          </w:tblCellMar>
        </w:tblPrEx>
        <w:trPr>
          <w:tblCellSpacing w:w="15" w:type="dxa"/>
        </w:trPr>
        <w:tc>
          <w:tcPr>
            <w:tcW w:w="0" w:type="auto"/>
            <w:tcBorders>
              <w:bottom w:val="single" w:color="auto" w:sz="4" w:space="0"/>
            </w:tcBorders>
            <w:vAlign w:val="center"/>
          </w:tcPr>
          <w:p w14:paraId="2C2459EA">
            <w:r>
              <w:t>To respond to complaints and legal obligations</w:t>
            </w:r>
          </w:p>
        </w:tc>
        <w:tc>
          <w:tcPr>
            <w:tcW w:w="0" w:type="auto"/>
            <w:tcBorders>
              <w:bottom w:val="single" w:color="auto" w:sz="4" w:space="0"/>
            </w:tcBorders>
            <w:vAlign w:val="center"/>
          </w:tcPr>
          <w:p w14:paraId="099A2507">
            <w:r>
              <w:t>Identity and contact data, relevant transaction or support data</w:t>
            </w:r>
          </w:p>
        </w:tc>
        <w:tc>
          <w:tcPr>
            <w:tcW w:w="0" w:type="auto"/>
            <w:tcBorders>
              <w:bottom w:val="single" w:color="auto" w:sz="4" w:space="0"/>
            </w:tcBorders>
            <w:vAlign w:val="center"/>
          </w:tcPr>
          <w:p w14:paraId="798B27CD">
            <w:r>
              <w:t>Legal obligation</w:t>
            </w:r>
          </w:p>
        </w:tc>
        <w:tc>
          <w:tcPr>
            <w:tcW w:w="0" w:type="auto"/>
            <w:tcBorders>
              <w:bottom w:val="single" w:color="auto" w:sz="4" w:space="0"/>
            </w:tcBorders>
            <w:vAlign w:val="center"/>
          </w:tcPr>
          <w:p w14:paraId="6A82CE65">
            <w:r>
              <w:t>To comply with applicable laws and regulations</w:t>
            </w:r>
          </w:p>
        </w:tc>
      </w:tr>
    </w:tbl>
    <w:p w14:paraId="01A86FA2"/>
    <w:p w14:paraId="35CF4649">
      <w:pPr>
        <w:rPr>
          <w:b/>
          <w:bCs/>
        </w:rPr>
      </w:pPr>
      <w:r>
        <w:rPr>
          <w:b/>
          <w:bCs/>
        </w:rPr>
        <w:t>3. How We Collect Personal Information</w:t>
      </w:r>
    </w:p>
    <w:p w14:paraId="6BC82D58">
      <w:r>
        <w:t>We may collect information about you through:</w:t>
      </w:r>
    </w:p>
    <w:p w14:paraId="79807191">
      <w:pPr>
        <w:numPr>
          <w:ilvl w:val="0"/>
          <w:numId w:val="1"/>
        </w:numPr>
      </w:pPr>
      <w:r>
        <w:rPr>
          <w:b/>
          <w:bCs/>
        </w:rPr>
        <w:t>Direct interactions</w:t>
      </w:r>
      <w:r>
        <w:t>: when you subscribe, contact us, or engage with Syntexa services.</w:t>
      </w:r>
    </w:p>
    <w:p w14:paraId="4F91B765">
      <w:pPr>
        <w:numPr>
          <w:ilvl w:val="0"/>
          <w:numId w:val="1"/>
        </w:numPr>
      </w:pPr>
      <w:r>
        <w:rPr>
          <w:b/>
          <w:bCs/>
        </w:rPr>
        <w:t>Automated technologies</w:t>
      </w:r>
      <w:r>
        <w:t>: cookies, analytics, or similar technologies to track website or software usage.</w:t>
      </w:r>
    </w:p>
    <w:p w14:paraId="243570F0">
      <w:pPr>
        <w:numPr>
          <w:ilvl w:val="0"/>
          <w:numId w:val="1"/>
        </w:numPr>
      </w:pPr>
      <w:r>
        <w:rPr>
          <w:b/>
          <w:bCs/>
        </w:rPr>
        <w:t>Referrals</w:t>
      </w:r>
      <w:r>
        <w:t>: when your contact information is shared by a third party who believes you may be interested in our services.</w:t>
      </w:r>
    </w:p>
    <w:p w14:paraId="313A7976"/>
    <w:p w14:paraId="2B526847">
      <w:pPr>
        <w:rPr>
          <w:b/>
          <w:bCs/>
        </w:rPr>
      </w:pPr>
      <w:r>
        <w:rPr>
          <w:b/>
          <w:bCs/>
        </w:rPr>
        <w:t>4. Types of Personal Information We Collect</w:t>
      </w:r>
    </w:p>
    <w:p w14:paraId="13773F6A">
      <w:pPr>
        <w:numPr>
          <w:ilvl w:val="0"/>
          <w:numId w:val="2"/>
        </w:numPr>
      </w:pPr>
      <w:r>
        <w:t>Contact details (name, email, address, phone number)</w:t>
      </w:r>
    </w:p>
    <w:p w14:paraId="60C89441">
      <w:pPr>
        <w:numPr>
          <w:ilvl w:val="0"/>
          <w:numId w:val="2"/>
        </w:numPr>
      </w:pPr>
      <w:r>
        <w:t>Financial and payment information</w:t>
      </w:r>
    </w:p>
    <w:p w14:paraId="09EC7E26">
      <w:pPr>
        <w:numPr>
          <w:ilvl w:val="0"/>
          <w:numId w:val="2"/>
        </w:numPr>
      </w:pPr>
      <w:r>
        <w:t>Account and transaction history</w:t>
      </w:r>
    </w:p>
    <w:p w14:paraId="50B026EF">
      <w:pPr>
        <w:numPr>
          <w:ilvl w:val="0"/>
          <w:numId w:val="2"/>
        </w:numPr>
      </w:pPr>
      <w:r>
        <w:t>Identity and company information</w:t>
      </w:r>
    </w:p>
    <w:p w14:paraId="10D28255">
      <w:pPr>
        <w:numPr>
          <w:ilvl w:val="0"/>
          <w:numId w:val="2"/>
        </w:numPr>
      </w:pPr>
      <w:r>
        <w:t>Location data (IP address, device information)</w:t>
      </w:r>
    </w:p>
    <w:p w14:paraId="76DEB2BE">
      <w:pPr>
        <w:numPr>
          <w:ilvl w:val="0"/>
          <w:numId w:val="2"/>
        </w:numPr>
      </w:pPr>
      <w:r>
        <w:t>Marketing preferences</w:t>
      </w:r>
    </w:p>
    <w:p w14:paraId="587C283F">
      <w:pPr>
        <w:numPr>
          <w:ilvl w:val="0"/>
          <w:numId w:val="2"/>
        </w:numPr>
      </w:pPr>
      <w:r>
        <w:t>Requests and communication preferences</w:t>
      </w:r>
    </w:p>
    <w:p w14:paraId="2E20D13B">
      <w:pPr>
        <w:numPr>
          <w:ilvl w:val="0"/>
          <w:numId w:val="2"/>
        </w:numPr>
      </w:pPr>
      <w:r>
        <w:t>System and usage data</w:t>
      </w:r>
    </w:p>
    <w:p w14:paraId="3C077DD4"/>
    <w:p w14:paraId="06730D1A">
      <w:pPr>
        <w:rPr>
          <w:b/>
          <w:bCs/>
        </w:rPr>
      </w:pPr>
      <w:r>
        <w:rPr>
          <w:b/>
          <w:bCs/>
        </w:rPr>
        <w:t>5. How We Share Personal Information</w:t>
      </w:r>
    </w:p>
    <w:p w14:paraId="06CA652E">
      <w:r>
        <w:t xml:space="preserve">We do </w:t>
      </w:r>
      <w:r>
        <w:rPr>
          <w:b/>
          <w:bCs/>
        </w:rPr>
        <w:t>not sell or share personal information</w:t>
      </w:r>
      <w:r>
        <w:t xml:space="preserve"> for marketing purposes. Personal information may be shared with:</w:t>
      </w:r>
    </w:p>
    <w:p w14:paraId="1D985B2C">
      <w:pPr>
        <w:numPr>
          <w:ilvl w:val="0"/>
          <w:numId w:val="3"/>
        </w:numPr>
      </w:pPr>
      <w:r>
        <w:t>Syntexa subsidiaries or affiliates</w:t>
      </w:r>
    </w:p>
    <w:p w14:paraId="78EE6911">
      <w:pPr>
        <w:numPr>
          <w:ilvl w:val="0"/>
          <w:numId w:val="3"/>
        </w:numPr>
      </w:pPr>
      <w:r>
        <w:t>Regulatory authorities, if legally required</w:t>
      </w:r>
    </w:p>
    <w:p w14:paraId="6D41B951">
      <w:pPr>
        <w:numPr>
          <w:ilvl w:val="0"/>
          <w:numId w:val="3"/>
        </w:numPr>
      </w:pPr>
      <w:r>
        <w:t>Third-party service providers, including:</w:t>
      </w:r>
    </w:p>
    <w:p w14:paraId="0D6F5A48">
      <w:pPr>
        <w:numPr>
          <w:ilvl w:val="1"/>
          <w:numId w:val="3"/>
        </w:numPr>
      </w:pPr>
      <w:r>
        <w:t>Cloud and hosting services</w:t>
      </w:r>
    </w:p>
    <w:p w14:paraId="03E72765">
      <w:pPr>
        <w:numPr>
          <w:ilvl w:val="1"/>
          <w:numId w:val="3"/>
        </w:numPr>
      </w:pPr>
      <w:r>
        <w:t>Payment processors</w:t>
      </w:r>
    </w:p>
    <w:p w14:paraId="55DEF9C0">
      <w:pPr>
        <w:numPr>
          <w:ilvl w:val="1"/>
          <w:numId w:val="3"/>
        </w:numPr>
      </w:pPr>
      <w:r>
        <w:t>Email and marketing service providers</w:t>
      </w:r>
    </w:p>
    <w:p w14:paraId="66200D18">
      <w:r>
        <w:t>All third-party providers must follow our instructions and protect your information according to applicable laws.</w:t>
      </w:r>
    </w:p>
    <w:p w14:paraId="76A34375"/>
    <w:p w14:paraId="705FD55D">
      <w:pPr>
        <w:rPr>
          <w:b/>
          <w:bCs/>
        </w:rPr>
      </w:pPr>
      <w:r>
        <w:rPr>
          <w:b/>
          <w:bCs/>
        </w:rPr>
        <w:t>6. Your Rights</w:t>
      </w:r>
    </w:p>
    <w:p w14:paraId="27894659">
      <w:r>
        <w:t>Depending on your location, you may have the right to:</w:t>
      </w:r>
    </w:p>
    <w:p w14:paraId="585C9E05">
      <w:pPr>
        <w:numPr>
          <w:ilvl w:val="0"/>
          <w:numId w:val="4"/>
        </w:numPr>
      </w:pPr>
      <w:r>
        <w:rPr>
          <w:b/>
          <w:bCs/>
        </w:rPr>
        <w:t>Access and update</w:t>
      </w:r>
      <w:r>
        <w:t xml:space="preserve"> your personal information</w:t>
      </w:r>
    </w:p>
    <w:p w14:paraId="74270FE9">
      <w:pPr>
        <w:numPr>
          <w:ilvl w:val="0"/>
          <w:numId w:val="4"/>
        </w:numPr>
      </w:pPr>
      <w:r>
        <w:rPr>
          <w:b/>
          <w:bCs/>
        </w:rPr>
        <w:t>Request deletion</w:t>
      </w:r>
      <w:r>
        <w:t xml:space="preserve"> of personal information (subject to legal obligations)</w:t>
      </w:r>
    </w:p>
    <w:p w14:paraId="199A65A4">
      <w:pPr>
        <w:numPr>
          <w:ilvl w:val="0"/>
          <w:numId w:val="4"/>
        </w:numPr>
      </w:pPr>
      <w:r>
        <w:rPr>
          <w:b/>
          <w:bCs/>
        </w:rPr>
        <w:t>Restrict processing</w:t>
      </w:r>
      <w:r>
        <w:t xml:space="preserve"> under certain conditions</w:t>
      </w:r>
    </w:p>
    <w:p w14:paraId="533A1221">
      <w:pPr>
        <w:numPr>
          <w:ilvl w:val="0"/>
          <w:numId w:val="4"/>
        </w:numPr>
      </w:pPr>
      <w:r>
        <w:rPr>
          <w:b/>
          <w:bCs/>
        </w:rPr>
        <w:t>Object to automated decision-making</w:t>
      </w:r>
      <w:r>
        <w:t xml:space="preserve"> where it affects your rights</w:t>
      </w:r>
    </w:p>
    <w:p w14:paraId="75D655C0">
      <w:pPr>
        <w:numPr>
          <w:ilvl w:val="0"/>
          <w:numId w:val="4"/>
        </w:numPr>
      </w:pPr>
      <w:r>
        <w:rPr>
          <w:b/>
          <w:bCs/>
        </w:rPr>
        <w:t>Data portability</w:t>
      </w:r>
      <w:r>
        <w:t xml:space="preserve"> to transfer information in a structured, machine-readable format</w:t>
      </w:r>
    </w:p>
    <w:p w14:paraId="3AA497D1">
      <w:pPr>
        <w:numPr>
          <w:ilvl w:val="0"/>
          <w:numId w:val="4"/>
        </w:numPr>
      </w:pPr>
      <w:r>
        <w:rPr>
          <w:b/>
          <w:bCs/>
        </w:rPr>
        <w:t>Withdraw consent</w:t>
      </w:r>
      <w:r>
        <w:t xml:space="preserve"> at any time for consent-based processing</w:t>
      </w:r>
    </w:p>
    <w:p w14:paraId="57610A83">
      <w:pPr>
        <w:numPr>
          <w:ilvl w:val="0"/>
          <w:numId w:val="4"/>
        </w:numPr>
      </w:pPr>
      <w:r>
        <w:rPr>
          <w:b/>
          <w:bCs/>
        </w:rPr>
        <w:t>File a complaint</w:t>
      </w:r>
      <w:r>
        <w:t xml:space="preserve"> with a relevant data protection authority</w:t>
      </w:r>
    </w:p>
    <w:p w14:paraId="40DD1869">
      <w:r>
        <w:t xml:space="preserve">Requests can be submitted via </w:t>
      </w:r>
      <w:r>
        <w:fldChar w:fldCharType="begin"/>
      </w:r>
      <w:r>
        <w:instrText xml:space="preserve"> HYPERLINK "mailto:info@syntexa.com" </w:instrText>
      </w:r>
      <w:r>
        <w:fldChar w:fldCharType="separate"/>
      </w:r>
      <w:r>
        <w:rPr>
          <w:rStyle w:val="15"/>
          <w:b/>
          <w:bCs/>
        </w:rPr>
        <w:t>info@syntexa.com</w:t>
      </w:r>
      <w:r>
        <w:rPr>
          <w:rStyle w:val="15"/>
          <w:b/>
          <w:bCs/>
        </w:rPr>
        <w:fldChar w:fldCharType="end"/>
      </w:r>
      <w:r>
        <w:t xml:space="preserve">. Syntexa will respond within </w:t>
      </w:r>
      <w:r>
        <w:rPr>
          <w:b/>
          <w:bCs/>
        </w:rPr>
        <w:t>30 days</w:t>
      </w:r>
      <w:r>
        <w:t xml:space="preserve"> of a valid request.</w:t>
      </w:r>
    </w:p>
    <w:p w14:paraId="7CFE3F4B"/>
    <w:p w14:paraId="45C5A02E">
      <w:pPr>
        <w:rPr>
          <w:b/>
          <w:bCs/>
        </w:rPr>
      </w:pPr>
    </w:p>
    <w:p w14:paraId="40CF2791">
      <w:pPr>
        <w:rPr>
          <w:b/>
          <w:bCs/>
        </w:rPr>
      </w:pPr>
      <w:r>
        <w:rPr>
          <w:b/>
          <w:bCs/>
        </w:rPr>
        <w:t>7. International Transfers</w:t>
      </w:r>
    </w:p>
    <w:p w14:paraId="662DC150">
      <w:r>
        <w:t xml:space="preserve">Syntexa may transfer personal information across borders, including outside Canada, the USA, or the EEA. We ensure transfers comply with applicable laws and implement safeguards, such as </w:t>
      </w:r>
      <w:r>
        <w:rPr>
          <w:b/>
          <w:bCs/>
        </w:rPr>
        <w:t>standard contractual clauses</w:t>
      </w:r>
      <w:r>
        <w:t>, to protect your information.</w:t>
      </w:r>
    </w:p>
    <w:p w14:paraId="045DF986"/>
    <w:p w14:paraId="243A4CE4">
      <w:pPr>
        <w:rPr>
          <w:b/>
          <w:bCs/>
        </w:rPr>
      </w:pPr>
      <w:r>
        <w:rPr>
          <w:b/>
          <w:bCs/>
        </w:rPr>
        <w:t>8. Security Measures</w:t>
      </w:r>
    </w:p>
    <w:p w14:paraId="6BA49E0B">
      <w:r>
        <w:t>Syntexa implements technical, administrative, and physical measures to protect personal information, including:</w:t>
      </w:r>
    </w:p>
    <w:p w14:paraId="254FF652">
      <w:pPr>
        <w:numPr>
          <w:ilvl w:val="0"/>
          <w:numId w:val="5"/>
        </w:numPr>
      </w:pPr>
      <w:r>
        <w:t>Firewalls and access controls</w:t>
      </w:r>
    </w:p>
    <w:p w14:paraId="07A9780B">
      <w:pPr>
        <w:numPr>
          <w:ilvl w:val="0"/>
          <w:numId w:val="5"/>
        </w:numPr>
      </w:pPr>
      <w:r>
        <w:t>SSL encryption for sensitive communications</w:t>
      </w:r>
    </w:p>
    <w:p w14:paraId="0B6EDFB8">
      <w:pPr>
        <w:numPr>
          <w:ilvl w:val="0"/>
          <w:numId w:val="5"/>
        </w:numPr>
      </w:pPr>
      <w:r>
        <w:t>Regular backups and disaster recovery procedures</w:t>
      </w:r>
    </w:p>
    <w:p w14:paraId="37893F48">
      <w:pPr>
        <w:numPr>
          <w:ilvl w:val="0"/>
          <w:numId w:val="5"/>
        </w:numPr>
      </w:pPr>
      <w:r>
        <w:t>Antivirus and malware protection</w:t>
      </w:r>
    </w:p>
    <w:p w14:paraId="274D71CB">
      <w:pPr>
        <w:numPr>
          <w:ilvl w:val="0"/>
          <w:numId w:val="5"/>
        </w:numPr>
      </w:pPr>
      <w:r>
        <w:t>Secure payment processing via PCI-compliant providers</w:t>
      </w:r>
    </w:p>
    <w:p w14:paraId="61133AE8">
      <w:r>
        <w:t>Despite these measures, absolute security cannot be guaranteed.</w:t>
      </w:r>
    </w:p>
    <w:p w14:paraId="39C7BF08"/>
    <w:p w14:paraId="3EF86D33">
      <w:pPr>
        <w:rPr>
          <w:b/>
          <w:bCs/>
        </w:rPr>
      </w:pPr>
      <w:r>
        <w:rPr>
          <w:b/>
          <w:bCs/>
        </w:rPr>
        <w:t>9. Cookies and Tracking</w:t>
      </w:r>
    </w:p>
    <w:p w14:paraId="5B820874">
      <w:r>
        <w:t xml:space="preserve">We use cookies and similar technologies to improve your experience, track website activity, and remember preferences. Cookies </w:t>
      </w:r>
      <w:r>
        <w:rPr>
          <w:b/>
          <w:bCs/>
        </w:rPr>
        <w:t>do not contain personal information</w:t>
      </w:r>
      <w:r>
        <w:t xml:space="preserve"> unless you provide it. Most browsers allow you to block or delete cookies, but some features may not function properly if cookies are disabled.</w:t>
      </w:r>
    </w:p>
    <w:p w14:paraId="268B3C8F"/>
    <w:p w14:paraId="469EFB70">
      <w:pPr>
        <w:rPr>
          <w:b/>
          <w:bCs/>
        </w:rPr>
      </w:pPr>
      <w:r>
        <w:rPr>
          <w:b/>
          <w:bCs/>
        </w:rPr>
        <w:t>10. Data Retention</w:t>
      </w:r>
    </w:p>
    <w:p w14:paraId="5C20C816">
      <w:r>
        <w:t>We retain your personal information only as long as necessary to provide services, meet legal obligations, resolve disputes, or enforce agreements.</w:t>
      </w:r>
    </w:p>
    <w:p w14:paraId="70A8CA02"/>
    <w:p w14:paraId="165A9CA6">
      <w:pPr>
        <w:rPr>
          <w:b/>
          <w:bCs/>
        </w:rPr>
      </w:pPr>
      <w:r>
        <w:rPr>
          <w:b/>
          <w:bCs/>
        </w:rPr>
        <w:t>11. Third-Party Links</w:t>
      </w:r>
    </w:p>
    <w:p w14:paraId="2D3851C4">
      <w:r>
        <w:t xml:space="preserve">Our website may contain links to third-party websites. We are </w:t>
      </w:r>
      <w:r>
        <w:rPr>
          <w:b/>
          <w:bCs/>
        </w:rPr>
        <w:t>not responsible</w:t>
      </w:r>
      <w:r>
        <w:t xml:space="preserve"> for their privacy practices. Please review the privacy policies of those sites directly.</w:t>
      </w:r>
    </w:p>
    <w:p w14:paraId="64A58E4A"/>
    <w:p w14:paraId="3E508EAA">
      <w:pPr>
        <w:rPr>
          <w:b/>
          <w:bCs/>
        </w:rPr>
      </w:pPr>
      <w:r>
        <w:rPr>
          <w:b/>
          <w:bCs/>
        </w:rPr>
        <w:t>12. Contact Information</w:t>
      </w:r>
    </w:p>
    <w:p w14:paraId="337DEB2C">
      <w:r>
        <w:t>If you have questions about this Privacy Policy or our data practices, contact us:</w:t>
      </w:r>
    </w:p>
    <w:p w14:paraId="00B3C18B">
      <w:r>
        <w:rPr>
          <w:b/>
          <w:bCs/>
        </w:rPr>
        <w:t>Email:</w:t>
      </w:r>
      <w:r>
        <w:t xml:space="preserve"> </w:t>
      </w:r>
      <w:r>
        <w:fldChar w:fldCharType="begin"/>
      </w:r>
      <w:r>
        <w:instrText xml:space="preserve"> HYPERLINK "mailto:info@syntexa.com" </w:instrText>
      </w:r>
      <w:r>
        <w:fldChar w:fldCharType="separate"/>
      </w:r>
      <w:r>
        <w:rPr>
          <w:rStyle w:val="15"/>
        </w:rPr>
        <w:t>info@syntexa.com</w:t>
      </w:r>
      <w:r>
        <w:rPr>
          <w:rStyle w:val="15"/>
        </w:rPr>
        <w:fldChar w:fldCharType="end"/>
      </w:r>
      <w:r>
        <w:br w:type="textWrapping"/>
      </w:r>
      <w:r>
        <w:rPr>
          <w:b/>
          <w:bCs/>
        </w:rPr>
        <w:t>Mailing Address:</w:t>
      </w:r>
      <w:r>
        <w:t xml:space="preserve"> Syntexa Inc., 151 Bentley Street, Unit 5, Markham, Ontario, Canada, L3R 3X9</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44216836"/>
      <w:docPartObj>
        <w:docPartGallery w:val="autotext"/>
      </w:docPartObj>
    </w:sdtPr>
    <w:sdtContent>
      <w:sdt>
        <w:sdtPr>
          <w:id w:val="1728636285"/>
          <w:docPartObj>
            <w:docPartGallery w:val="autotext"/>
          </w:docPartObj>
        </w:sdtPr>
        <w:sdtContent>
          <w:p w14:paraId="2D810234">
            <w:pPr>
              <w:pStyle w:val="13"/>
            </w:pPr>
            <w:r>
              <w:t>---------------------------------------------------------------------------------------------------------------------</w:t>
            </w:r>
          </w:p>
          <w:p w14:paraId="493E422F">
            <w:pPr>
              <w:pStyle w:val="13"/>
            </w:pPr>
            <w:r>
              <w:t>Doc 2</w:t>
            </w:r>
            <w:r>
              <w:rPr>
                <w:rFonts w:hint="default"/>
                <w:lang w:val="en-US"/>
              </w:rPr>
              <w:t>5</w:t>
            </w:r>
            <w:r>
              <w:t>005 Rev00 has been reviewed and approved by Chad Nedin, VP of Operations.</w:t>
            </w:r>
          </w:p>
          <w:p w14:paraId="747DCEE0">
            <w:pPr>
              <w:pStyle w:val="13"/>
            </w:pPr>
            <w:r>
              <w:t>Effective Date: 15-</w:t>
            </w:r>
            <w:r>
              <w:rPr>
                <w:rFonts w:hint="default"/>
                <w:lang w:val="en-US"/>
              </w:rPr>
              <w:t>Jan</w:t>
            </w:r>
            <w:r>
              <w:t>-202</w:t>
            </w:r>
            <w:r>
              <w:rPr>
                <w:rFonts w:hint="default"/>
                <w:lang w:val="en-US"/>
              </w:rPr>
              <w:t>5</w:t>
            </w:r>
            <w:r>
              <w:t xml:space="preserve"> (CCN-2</w:t>
            </w:r>
            <w:r>
              <w:rPr>
                <w:rFonts w:hint="default"/>
                <w:lang w:val="en-US"/>
              </w:rPr>
              <w:t>5</w:t>
            </w:r>
            <w:r>
              <w:t>001).</w:t>
            </w:r>
          </w:p>
          <w:p w14:paraId="7553B5EB">
            <w:pPr>
              <w:pStyle w:val="13"/>
              <w:jc w:val="center"/>
            </w:pPr>
          </w:p>
          <w:p w14:paraId="160B48DC">
            <w:pPr>
              <w:pStyle w:val="13"/>
              <w:jc w:val="center"/>
            </w:pPr>
            <w:r>
              <w:t xml:space="preserve">Page </w:t>
            </w:r>
            <w:r>
              <w:rPr>
                <w:b/>
                <w:bCs/>
              </w:rPr>
              <w:fldChar w:fldCharType="begin"/>
            </w:r>
            <w:r>
              <w:rPr>
                <w:b/>
                <w:bCs/>
              </w:rPr>
              <w:instrText xml:space="preserve"> PAGE </w:instrText>
            </w:r>
            <w:r>
              <w:rPr>
                <w:b/>
                <w:bCs/>
              </w:rPr>
              <w:fldChar w:fldCharType="separate"/>
            </w:r>
            <w:r>
              <w:rPr>
                <w:b/>
                <w:bCs/>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2</w:t>
            </w:r>
            <w:r>
              <w:rPr>
                <w:b/>
                <w:bCs/>
              </w:rPr>
              <w:fldChar w:fldCharType="end"/>
            </w:r>
          </w:p>
        </w:sdtContent>
      </w:sdt>
    </w:sdtContent>
  </w:sdt>
  <w:p w14:paraId="32B5DD91">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997520"/>
    <w:multiLevelType w:val="multilevel"/>
    <w:tmpl w:val="099975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C4F56F7"/>
    <w:multiLevelType w:val="multilevel"/>
    <w:tmpl w:val="0C4F56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7A12E38"/>
    <w:multiLevelType w:val="multilevel"/>
    <w:tmpl w:val="17A12E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EEA0E11"/>
    <w:multiLevelType w:val="multilevel"/>
    <w:tmpl w:val="2EEA0E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AD100B0"/>
    <w:multiLevelType w:val="multilevel"/>
    <w:tmpl w:val="4AD100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8F7"/>
    <w:rsid w:val="000768F7"/>
    <w:rsid w:val="00082A3B"/>
    <w:rsid w:val="001263FF"/>
    <w:rsid w:val="00144FA5"/>
    <w:rsid w:val="002C0096"/>
    <w:rsid w:val="00354295"/>
    <w:rsid w:val="00492645"/>
    <w:rsid w:val="006320D6"/>
    <w:rsid w:val="00651885"/>
    <w:rsid w:val="006C7C35"/>
    <w:rsid w:val="00701A7D"/>
    <w:rsid w:val="00764592"/>
    <w:rsid w:val="00835A76"/>
    <w:rsid w:val="008D0A20"/>
    <w:rsid w:val="00982981"/>
    <w:rsid w:val="00B40EE2"/>
    <w:rsid w:val="00C437FD"/>
    <w:rsid w:val="00D2102D"/>
    <w:rsid w:val="00D95E72"/>
    <w:rsid w:val="00E56B95"/>
    <w:rsid w:val="00EA1B3A"/>
    <w:rsid w:val="00EC7F9F"/>
    <w:rsid w:val="3B6528CF"/>
    <w:rsid w:val="467A39A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ahom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cs="Tahoma" w:eastAsiaTheme="minorHAnsi"/>
      <w:sz w:val="24"/>
      <w:szCs w:val="24"/>
      <w:lang w:val="en-US" w:eastAsia="en-US" w:bidi="ar-SA"/>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37609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asciiTheme="minorHAnsi" w:hAnsiTheme="minorHAnsi" w:eastAsiaTheme="majorEastAsia" w:cstheme="majorBidi"/>
      <w:color w:val="37609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asciiTheme="minorHAnsi" w:hAnsiTheme="minorHAnsi" w:eastAsiaTheme="majorEastAsia" w:cstheme="majorBidi"/>
      <w:i/>
      <w:iCs/>
      <w:color w:val="37609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asciiTheme="minorHAnsi" w:hAnsiTheme="minorHAnsi" w:eastAsiaTheme="majorEastAsia" w:cstheme="majorBidi"/>
      <w:color w:val="37609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8"/>
    <w:unhideWhenUsed/>
    <w:uiPriority w:val="99"/>
    <w:pPr>
      <w:tabs>
        <w:tab w:val="center" w:pos="4680"/>
        <w:tab w:val="right" w:pos="9360"/>
      </w:tabs>
      <w:spacing w:after="0" w:line="240" w:lineRule="auto"/>
    </w:pPr>
  </w:style>
  <w:style w:type="paragraph" w:styleId="14">
    <w:name w:val="header"/>
    <w:basedOn w:val="1"/>
    <w:link w:val="37"/>
    <w:unhideWhenUsed/>
    <w:uiPriority w:val="99"/>
    <w:pPr>
      <w:tabs>
        <w:tab w:val="center" w:pos="4680"/>
        <w:tab w:val="right" w:pos="9360"/>
      </w:tabs>
      <w:spacing w:after="0" w:line="240" w:lineRule="auto"/>
    </w:pPr>
  </w:style>
  <w:style w:type="character" w:styleId="15">
    <w:name w:val="Hyperlink"/>
    <w:basedOn w:val="11"/>
    <w:unhideWhenUsed/>
    <w:qFormat/>
    <w:uiPriority w:val="99"/>
    <w:rPr>
      <w:color w:val="0000FF" w:themeColor="hyperlink"/>
      <w:u w:val="single"/>
      <w14:textFill>
        <w14:solidFill>
          <w14:schemeClr w14:val="hlink"/>
        </w14:solidFill>
      </w14:textFill>
    </w:rPr>
  </w:style>
  <w:style w:type="paragraph" w:styleId="16">
    <w:name w:val="Subtitle"/>
    <w:basedOn w:val="1"/>
    <w:next w:val="1"/>
    <w:link w:val="28"/>
    <w:qFormat/>
    <w:uiPriority w:val="11"/>
    <w:pPr>
      <w:spacing w:after="160"/>
    </w:pPr>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376092"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376092" w:themeColor="accent1" w:themeShade="BF"/>
      <w:sz w:val="32"/>
      <w:szCs w:val="32"/>
    </w:rPr>
  </w:style>
  <w:style w:type="character" w:customStyle="1" w:styleId="20">
    <w:name w:val="Heading 3 Char"/>
    <w:basedOn w:val="11"/>
    <w:link w:val="4"/>
    <w:semiHidden/>
    <w:qFormat/>
    <w:uiPriority w:val="9"/>
    <w:rPr>
      <w:rFonts w:asciiTheme="minorHAnsi" w:hAnsiTheme="minorHAnsi" w:eastAsiaTheme="majorEastAsia" w:cstheme="majorBidi"/>
      <w:color w:val="376092" w:themeColor="accent1" w:themeShade="BF"/>
      <w:sz w:val="28"/>
      <w:szCs w:val="28"/>
    </w:rPr>
  </w:style>
  <w:style w:type="character" w:customStyle="1" w:styleId="21">
    <w:name w:val="Heading 4 Char"/>
    <w:basedOn w:val="11"/>
    <w:link w:val="5"/>
    <w:semiHidden/>
    <w:qFormat/>
    <w:uiPriority w:val="9"/>
    <w:rPr>
      <w:rFonts w:asciiTheme="minorHAnsi" w:hAnsiTheme="minorHAnsi" w:eastAsiaTheme="majorEastAsia" w:cstheme="majorBidi"/>
      <w:i/>
      <w:iCs/>
      <w:color w:val="376092" w:themeColor="accent1" w:themeShade="BF"/>
    </w:rPr>
  </w:style>
  <w:style w:type="character" w:customStyle="1" w:styleId="22">
    <w:name w:val="Heading 5 Char"/>
    <w:basedOn w:val="11"/>
    <w:link w:val="6"/>
    <w:semiHidden/>
    <w:uiPriority w:val="9"/>
    <w:rPr>
      <w:rFonts w:asciiTheme="minorHAnsi" w:hAnsiTheme="minorHAnsi" w:eastAsiaTheme="majorEastAsia" w:cstheme="majorBidi"/>
      <w:color w:val="376092" w:themeColor="accent1" w:themeShade="BF"/>
    </w:rPr>
  </w:style>
  <w:style w:type="character" w:customStyle="1" w:styleId="23">
    <w:name w:val="Heading 6 Char"/>
    <w:basedOn w:val="11"/>
    <w:link w:val="7"/>
    <w:semiHidden/>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376092" w:themeColor="accent1" w:themeShade="BF"/>
    </w:rPr>
  </w:style>
  <w:style w:type="paragraph" w:styleId="33">
    <w:name w:val="Intense Quote"/>
    <w:basedOn w:val="1"/>
    <w:next w:val="1"/>
    <w:link w:val="34"/>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4">
    <w:name w:val="Intense Quote Char"/>
    <w:basedOn w:val="11"/>
    <w:link w:val="33"/>
    <w:qFormat/>
    <w:uiPriority w:val="30"/>
    <w:rPr>
      <w:i/>
      <w:iCs/>
      <w:color w:val="376092" w:themeColor="accent1" w:themeShade="BF"/>
    </w:rPr>
  </w:style>
  <w:style w:type="character" w:customStyle="1" w:styleId="35">
    <w:name w:val="Intense Reference"/>
    <w:basedOn w:val="11"/>
    <w:qFormat/>
    <w:uiPriority w:val="32"/>
    <w:rPr>
      <w:b/>
      <w:bCs/>
      <w:smallCaps/>
      <w:color w:val="376092" w:themeColor="accent1" w:themeShade="BF"/>
      <w:spacing w:val="5"/>
    </w:rPr>
  </w:style>
  <w:style w:type="character" w:customStyle="1" w:styleId="36">
    <w:name w:val="Unresolved Mention"/>
    <w:basedOn w:val="11"/>
    <w:semiHidden/>
    <w:unhideWhenUsed/>
    <w:uiPriority w:val="99"/>
    <w:rPr>
      <w:color w:val="605E5C"/>
      <w:shd w:val="clear" w:color="auto" w:fill="E1DFDD"/>
    </w:rPr>
  </w:style>
  <w:style w:type="character" w:customStyle="1" w:styleId="37">
    <w:name w:val="Header Char"/>
    <w:basedOn w:val="11"/>
    <w:link w:val="14"/>
    <w:uiPriority w:val="99"/>
  </w:style>
  <w:style w:type="character" w:customStyle="1" w:styleId="38">
    <w:name w:val="Footer Char"/>
    <w:basedOn w:val="11"/>
    <w:link w:val="13"/>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764</Words>
  <Characters>4630</Characters>
  <Lines>161</Lines>
  <Paragraphs>87</Paragraphs>
  <TotalTime>1</TotalTime>
  <ScaleCrop>false</ScaleCrop>
  <LinksUpToDate>false</LinksUpToDate>
  <CharactersWithSpaces>5306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2026-03-15T16:09:00Z</dcterms:created>
  <dc:creator>Abbas Sayyad</dc:creator>
  <cp:lastModifiedBy>yashraj sharma</cp:lastModifiedBy>
  <dcterms:modified xsi:type="dcterms:W3CDTF">2026-04-08T03:57:16Z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eyJoZGlkIjoiMWJmYmVhMGQ2YWQwOTc0ZDFkYmVkZTE0NzFkNThlYzIiLCJ1c2VySWQiOiI1NjcwNjEwMjYwMDcifQ==</vt:lpwstr>
  </property>
  <property fmtid="{D5CDD505-2E9C-101B-9397-08002B2CF9AE}" pid="3" name="KSOProductBuildVer">
    <vt:lpwstr>1033-12.1.0.25242</vt:lpwstr>
  </property>
  <property fmtid="{D5CDD505-2E9C-101B-9397-08002B2CF9AE}" pid="4" name="ICV">
    <vt:lpwstr>3B3903A00018446C81BA3FE1E582C842_12</vt:lpwstr>
  </property>
</Properties>
</file>