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Updated Catalyst Selection Guide for Ullmann C–N Couplings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Substrate situation</w:t>
            </w:r>
          </w:p>
        </w:tc>
        <w:tc>
          <w:tcPr>
            <w:tcW w:type="dxa" w:w="2880"/>
          </w:tcPr>
          <w:p>
            <w:r>
              <w:t>Recommended Cu / ligand system</w:t>
            </w:r>
          </w:p>
        </w:tc>
        <w:tc>
          <w:tcPr>
            <w:tcW w:type="dxa" w:w="2880"/>
          </w:tcPr>
          <w:p>
            <w:r>
              <w:t>Why it works</w:t>
            </w:r>
          </w:p>
        </w:tc>
      </w:tr>
      <w:tr>
        <w:tc>
          <w:tcPr>
            <w:tcW w:type="dxa" w:w="2880"/>
          </w:tcPr>
          <w:p>
            <w:r>
              <w:t>Standard aryl or heteroaryl iodides (little ortho crowding, any primary amine)</w:t>
            </w:r>
          </w:p>
        </w:tc>
        <w:tc>
          <w:tcPr>
            <w:tcW w:type="dxa" w:w="2880"/>
          </w:tcPr>
          <w:p>
            <w:r>
              <w:t>CuI (7681‑65‑4)</w:t>
            </w:r>
          </w:p>
        </w:tc>
        <w:tc>
          <w:tcPr>
            <w:tcW w:type="dxa" w:w="2880"/>
          </w:tcPr>
          <w:p>
            <w:r>
              <w:t>&gt;55 % of CuI-only examples use iodides; high yields under mild carbonate bases.</w:t>
            </w:r>
          </w:p>
        </w:tc>
      </w:tr>
      <w:tr>
        <w:tc>
          <w:tcPr>
            <w:tcW w:type="dxa" w:w="2880"/>
          </w:tcPr>
          <w:p>
            <w:r>
              <w:t>Single‑ortho bromides, moderate steric load</w:t>
            </w:r>
          </w:p>
        </w:tc>
        <w:tc>
          <w:tcPr>
            <w:tcW w:type="dxa" w:w="2880"/>
          </w:tcPr>
          <w:p>
            <w:r>
              <w:t>CuI + L‑proline (147‑85‑3 + 7681‑65‑4)</w:t>
            </w:r>
          </w:p>
        </w:tc>
        <w:tc>
          <w:tcPr>
            <w:tcW w:type="dxa" w:w="2880"/>
          </w:tcPr>
          <w:p>
            <w:r>
              <w:t>Ligand accelerates C–Br oxidative addition; about half the dataset entries are bromides.</w:t>
            </w:r>
          </w:p>
        </w:tc>
      </w:tr>
      <w:tr>
        <w:tc>
          <w:tcPr>
            <w:tcW w:type="dxa" w:w="2880"/>
          </w:tcPr>
          <w:p>
            <w:r>
              <w:t>Unhindered iodides with **hindered secondary (dialkyl) amines**</w:t>
            </w:r>
          </w:p>
        </w:tc>
        <w:tc>
          <w:tcPr>
            <w:tcW w:type="dxa" w:w="2880"/>
          </w:tcPr>
          <w:p>
            <w:r>
              <w:t>CuI + 1,10‑phenanthroline (66‑71‑7 + 7681‑65‑4)</w:t>
            </w:r>
          </w:p>
        </w:tc>
        <w:tc>
          <w:tcPr>
            <w:tcW w:type="dxa" w:w="2880"/>
          </w:tcPr>
          <w:p>
            <w:r>
              <w:t>Phen stabilises Cu‑amide; after correcting tertiary mis‑class, ≈85 % of examples involve secondary dialkyl amines.</w:t>
            </w:r>
          </w:p>
        </w:tc>
      </w:tr>
      <w:tr>
        <w:tc>
          <w:tcPr>
            <w:tcW w:type="dxa" w:w="2880"/>
          </w:tcPr>
          <w:p>
            <w:r>
              <w:t>Secondary alkyl amines or mildly hindered bromides</w:t>
            </w:r>
          </w:p>
        </w:tc>
        <w:tc>
          <w:tcPr>
            <w:tcW w:type="dxa" w:w="2880"/>
          </w:tcPr>
          <w:p>
            <w:r>
              <w:t>CuI + TMEDA (110‑70‑3 + 7681‑65‑4)</w:t>
            </w:r>
          </w:p>
        </w:tc>
        <w:tc>
          <w:tcPr>
            <w:tcW w:type="dxa" w:w="2880"/>
          </w:tcPr>
          <w:p>
            <w:r>
              <w:t>Diamine chelation boosts trans‑metalation; highest share of secondary‑alkyl amines (~78 %).</w:t>
            </w:r>
          </w:p>
        </w:tc>
      </w:tr>
      <w:tr>
        <w:tc>
          <w:tcPr>
            <w:tcW w:type="dxa" w:w="2880"/>
          </w:tcPr>
          <w:p>
            <w:r>
              <w:t>Very hindered single‑ortho bromides</w:t>
            </w:r>
          </w:p>
        </w:tc>
        <w:tc>
          <w:tcPr>
            <w:tcW w:type="dxa" w:w="2880"/>
          </w:tcPr>
          <w:p>
            <w:r>
              <w:t>CuBr (7787‑70‑4)</w:t>
            </w:r>
          </w:p>
        </w:tc>
        <w:tc>
          <w:tcPr>
            <w:tcW w:type="dxa" w:w="2880"/>
          </w:tcPr>
          <w:p>
            <w:r>
              <w:t>Dominated by single‑ortho substrates (≈87 %); operates at 120–150 °C in non‑polar solvents.</w:t>
            </w:r>
          </w:p>
        </w:tc>
      </w:tr>
      <w:tr>
        <w:tc>
          <w:tcPr>
            <w:tcW w:type="dxa" w:w="2880"/>
          </w:tcPr>
          <w:p>
            <w:r>
              <w:t>Double‑ortho substrates or aryl chlorides</w:t>
            </w:r>
          </w:p>
        </w:tc>
        <w:tc>
          <w:tcPr>
            <w:tcW w:type="dxa" w:w="2880"/>
          </w:tcPr>
          <w:p>
            <w:r>
              <w:t>CuCl + TMEDA + CuI (7758‑89‑6 + 110‑18‑9 + 7681‑65‑4)</w:t>
            </w:r>
          </w:p>
        </w:tc>
        <w:tc>
          <w:tcPr>
            <w:tcW w:type="dxa" w:w="2880"/>
          </w:tcPr>
          <w:p>
            <w:r>
              <w:t>Only combo with measurable double‑ortho success (~6 %) and the highest Cl‑fraction (≈44 %).</w:t>
            </w:r>
          </w:p>
        </w:tc>
      </w:tr>
      <w:tr>
        <w:tc>
          <w:tcPr>
            <w:tcW w:type="dxa" w:w="2880"/>
          </w:tcPr>
          <w:p>
            <w:r>
              <w:t>Electron‑poor heteroaryl chlorides</w:t>
            </w:r>
          </w:p>
        </w:tc>
        <w:tc>
          <w:tcPr>
            <w:tcW w:type="dxa" w:w="2880"/>
          </w:tcPr>
          <w:p>
            <w:r>
              <w:t>Cu₂O + phenanthroline (1317‑38‑0 + 66‑71‑7)</w:t>
            </w:r>
          </w:p>
        </w:tc>
        <w:tc>
          <w:tcPr>
            <w:tcW w:type="dxa" w:w="2880"/>
          </w:tcPr>
          <w:p>
            <w:r>
              <w:t>Heteroaryl incidence doubles to ≈11 %; Cu₂O provides slow Cu(I) release, phen withstands acidic sites.</w:t>
            </w:r>
          </w:p>
        </w:tc>
      </w:tr>
      <w:tr>
        <w:tc>
          <w:tcPr>
            <w:tcW w:type="dxa" w:w="2880"/>
          </w:tcPr>
          <w:p>
            <w:r>
              <w:t>Economical scale‑up of unhindered bromides</w:t>
            </w:r>
          </w:p>
        </w:tc>
        <w:tc>
          <w:tcPr>
            <w:tcW w:type="dxa" w:w="2880"/>
          </w:tcPr>
          <w:p>
            <w:r>
              <w:t>Cu powder (7440‑50‑8)</w:t>
            </w:r>
          </w:p>
        </w:tc>
        <w:tc>
          <w:tcPr>
            <w:tcW w:type="dxa" w:w="2880"/>
          </w:tcPr>
          <w:p>
            <w:r>
              <w:t>Cheapest source; 45 % single‑ortho; requires elevated temperatures and excess amine as ligand.</w:t>
            </w:r>
          </w:p>
        </w:tc>
      </w:tr>
    </w:tbl>
    <w:p>
      <w:pPr>
        <w:pStyle w:val="Heading2"/>
      </w:pPr>
      <w:r>
        <w:t>Revised Decision Tree</w:t>
      </w:r>
    </w:p>
    <w:p>
      <w:pPr>
        <w:pStyle w:val="ListNumber"/>
      </w:pPr>
      <w:r>
        <w:t>Halide identity first – start with CuI for iodides; CuBr or CuCl/CuI mix for bromides/chlorides.</w:t>
      </w:r>
    </w:p>
    <w:p>
      <w:pPr>
        <w:pStyle w:val="ListNumber"/>
      </w:pPr>
      <w:r>
        <w:t>Steric check: no ortho substituent → CuI; single‑ortho → CuI+proline (Br) or CuBr; double‑ortho → CuCl+TMEDA+CuI.</w:t>
      </w:r>
    </w:p>
    <w:p>
      <w:pPr>
        <w:pStyle w:val="ListNumber"/>
      </w:pPr>
      <w:r>
        <w:t>Amine class: **hindered secondary (dialkyl or benzylic)** → phenanthroline or TMEDA; less‑hindered secondary alkyl → TMEDA alone.</w:t>
      </w:r>
    </w:p>
    <w:p>
      <w:pPr>
        <w:pStyle w:val="ListNumber"/>
      </w:pPr>
      <w:r>
        <w:t>Heteroaryl electrophile → Cu₂O + phenanthroline for best tolerance.</w:t>
      </w:r>
    </w:p>
    <w:p>
      <w:pPr>
        <w:pStyle w:val="ListNumber"/>
      </w:pPr>
      <w:r>
        <w:t>Cost‑sensitive scale‑up → Cu powder when substrate is bromide and sterically forgiving.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