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TREND — TF mRNA does not predict enhancer activity: figure legends</w:t>
      </w:r>
    </w:p>
    <w:p>
      <w:pPr>
        <w:spacing w:after="200"/>
      </w:pPr>
      <w:r>
        <w:rPr>
          <w:b/>
        </w:rPr>
        <w:t>Figure 0. TF mRNA abundance versus enhancer selectivity (reference).</w:t>
      </w:r>
      <w:r>
        <w:t xml:space="preserve"> Each point is one transcription factor (n = 755 expressed factors with sensors in the library), positioned by its differential mRNA expression between OV8 (tumour) and IOSE (normal) cells (log10 of the OV8/IOSE TPM ratio) and the median tumour selectivity (OV8/IOSE reporter activity) of its synthetic-enhancer sensors. The dotted line marks equal tumour/normal activity. The two quantities are uncorrelated (Pearson r = −0.02).</w:t>
      </w:r>
    </w:p>
    <w:p>
      <w:pPr>
        <w:spacing w:after="200"/>
      </w:pPr>
      <w:r>
        <w:rPr>
          <w:b/>
        </w:rPr>
        <w:t>Figure A. Selecting enhancers by TF mRNA performs no better than chance.</w:t>
      </w:r>
      <w:r>
        <w:t xml:space="preserve"> Cumulative recovery of the 50 most tumour-selective transcription factors (ranked by their best sensor in the screen) as transcription factors are selected one at a time. Factors were ordered by descending differential mRNA expression (red), by the screen's measured selectivity (green; the ideal), or at random (grey dashed; analytical expectation). Selection by differential mRNA tracks random selection — the top 50 factors by mRNA recover 0 of the 50 most-selective enhancers.</w:t>
      </w:r>
    </w:p>
    <w:p>
      <w:pPr>
        <w:spacing w:after="200"/>
      </w:pPr>
      <w:r>
        <w:rPr>
          <w:b/>
        </w:rPr>
        <w:t>Figure B. The determinant of enhancer selectivity lies within, not between, transcription factors.</w:t>
      </w:r>
      <w:r>
        <w:t xml:space="preserve"> Per-sensor tumour selectivity (log2 OV8/IOSE; light points) for every sensor, plotted against its transcription factor's differential mRNA expression; black points are per-TF medians. The variance of selectivity within transcription factors (mean 0.34) exceeds the variance between TF medians (0.18) by ~1.9-fold; the dominant axis of variation is therefore between sensors of the same factor — a dimension inaccessible to any single per-TF measurement such as mRNA abundance.</w:t>
      </w:r>
    </w:p>
    <w:p>
      <w:pPr>
        <w:spacing w:after="200"/>
      </w:pPr>
      <w:r>
        <w:rPr>
          <w:b/>
        </w:rPr>
        <w:t>Figure C. Differential mRNA does not classify transcription factors that yield selective enhancers.</w:t>
      </w:r>
      <w:r>
        <w:t xml:space="preserve"> Receiver-operating-characteristic curve for differential mRNA expression used to classify transcription factors that have at least one ≥2-fold tumour-selective sensor (40% of factors). The area under the curve (0.54) is close to the chance value of 0.50.</w:t>
      </w:r>
    </w:p>
    <w:p>
      <w:pPr>
        <w:spacing w:after="200"/>
      </w:pPr>
      <w:r>
        <w:rPr>
          <w:b/>
        </w:rPr>
        <w:t>Figure D. Neither mRNA abundance nor prior literature identifies the best enhancers.</w:t>
      </w:r>
      <w:r>
        <w:t xml:space="preserve"> Each point is a transcription factor positioned by its differential mRNA expression (x) and the selectivity of its most tumour-selective sensor (y); dotted lines mark 2-fold mRNA over-expression and 2-fold sensor selectivity. Colour highlights three reference groups: the transcription factors with the most selective sensors in the screen (green), field-acknowledged ovarian-cancer factors (blue; PAX8, WT1, SOX17, MECOM, FOXM1), and the most mRNA-over-expressed factors (red). The most selective enhancers derive from factors that are neither the most over-expressed nor the canonical ovarian-cancer factors.</w:t>
      </w:r>
    </w:p>
    <w:p>
      <w:pPr>
        <w:spacing w:after="200"/>
      </w:pPr>
      <w:r>
        <w:rPr>
          <w:b/>
        </w:rPr>
        <w:t>Figure E. The most over-expressed transcription factors are unremarkable enhancer sources.</w:t>
      </w:r>
      <w:r>
        <w:t xml:space="preserve"> Distribution of best-sensor selectivity (log2 OV8/IOSE) for all transcription factors (grey) and for the 20 most mRNA-over-expressed factors (red), shown as area-normalized densities; vertical lines mark group medians (1.76-fold vs 1.87-fold). The most over-expressed factors are indistinguishable from the library as a whole in the selectivity of the enhancers they yield.</w:t>
      </w:r>
    </w:p>
    <w:p>
      <w:pPr>
        <w:spacing w:after="200"/>
      </w:pPr>
      <w:r>
        <w:rPr>
          <w:b/>
        </w:rPr>
        <w:t>Figure F. The mRNA ranking and the enhancer ranking of transcription factors are unrelated.</w:t>
      </w:r>
      <w:r>
        <w:t xml:space="preserve"> Transcription factors ranked by differential mRNA expression (x; rank 1 = most over-expressed) versus by best-sensor selectivity (y; rank 1 = most selective); the two rankings are uncorrelated (Spearman ρ = 0.10). Reference groups are coloured as in Figure D. None of the three groups aligns the two rankings.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