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TREND — Conclusions by figure</w:t>
      </w:r>
    </w:p>
    <w:p>
      <w:r>
        <w:t>Each entry states the conclusion supported by the corresponding figure. These are interpretations and are deliberately kept separate from the figure legends.</w:t>
      </w:r>
    </w:p>
    <w:p>
      <w:pPr>
        <w:spacing w:after="200"/>
      </w:pPr>
      <w:r>
        <w:rPr>
          <w:b/>
        </w:rPr>
        <w:t>Figure 1.</w:t>
      </w:r>
      <w:r>
        <w:t xml:space="preserve"> For motifs that possess a genuine high-affinity consensus, a non-consensus sequence variant is frequently the most tumour-selective element, and is often several-fold more selective than the consensus itself. Recovering the most cell-type-selective enhancers therefore requires sampling many sequence variants of a motif rather than testing the consensus alone.</w:t>
      </w:r>
    </w:p>
    <w:p>
      <w:pPr>
        <w:spacing w:after="200"/>
      </w:pPr>
      <w:r>
        <w:rPr>
          <w:b/>
        </w:rPr>
        <w:t>Figure 2.</w:t>
      </w:r>
      <w:r>
        <w:t xml:space="preserve"> The genome-wide selectivity distribution is centred slightly below an OV8/IOSE ratio of 1 — the neutral point is determined empirically rather than assumed — and is strongly asymmetric, containing far more tumour-selective than normal-selective variants. The platform thus preferentially yields tumour-selective regulatory elements, and selectivity calls should be referenced to the empirical centre.</w:t>
      </w:r>
    </w:p>
    <w:p>
      <w:pPr>
        <w:spacing w:after="200"/>
      </w:pPr>
      <w:r>
        <w:rPr>
          <w:b/>
        </w:rPr>
        <w:t>Figure 3.</w:t>
      </w:r>
      <w:r>
        <w:t xml:space="preserve"> Variant-driven selectivity gains arise predominantly from a reduction of activity in normal cells rather than an increase in tumour cells. A tumour-activity-raising component is also present and grows in the most selective tiers, so that the largest selectivity gains generally require both levers (lower normal and higher tumour activity) acting together.</w:t>
      </w:r>
    </w:p>
    <w:p>
      <w:pPr>
        <w:spacing w:after="200"/>
      </w:pPr>
      <w:r>
        <w:rPr>
          <w:b/>
        </w:rPr>
        <w:t>Figure 4.</w:t>
      </w:r>
      <w:r>
        <w:t xml:space="preserve"> Viewed as activity shifts, the same pattern is evident: across the most selective tiers, switching from the consensus to the best variant chiefly suppresses normal-cell activity while preserving — or, in the top tiers, modestly increasing — tumour-cell activity. This is the activity signature of variants that raise the threshold for activation in low-input (normal) cells while remaining active in high-input (tumour) cells.</w:t>
      </w:r>
    </w:p>
    <w:p>
      <w:pPr>
        <w:spacing w:after="200"/>
      </w:pPr>
      <w:r>
        <w:rPr>
          <w:b/>
        </w:rPr>
        <w:t>Figure 5.</w:t>
      </w:r>
      <w:r>
        <w:t xml:space="preserve"> There is no universal optimal binding affinity: depending on the motif, the most tumour-selective variant sits at low, intermediate, or near-consensus affinity, with only a mild skew toward lower affinity. This “Goldilocks” behaviour — an optimum that differs from motif to motif — is a direct rationale for screening a diverse panel of sequence variants per motif rather than relying on the consensus.</w:t>
      </w:r>
    </w:p>
    <w:p>
      <w:pPr>
        <w:spacing w:after="200"/>
      </w:pPr>
      <w:r>
        <w:rPr>
          <w:b/>
        </w:rPr>
        <w:t>Figure 6.</w:t>
      </w:r>
      <w:r>
        <w:t xml:space="preserve"> Across the full library, motif affinity does not predict selectivity: the median selectivity is flat with respect to affinity, and highly selective variants occur at every affinity level. Cell-type selectivity therefore cannot be inferred from binding-affinity scores alone and must be measured empirically, which is the function the TREND variant library provides.</w:t>
      </w:r>
    </w:p>
    <w:p>
      <w:pPr>
        <w:spacing w:after="200"/>
      </w:pPr>
      <w:r>
        <w:rPr>
          <w:b/>
        </w:rPr>
        <w:t>Figure 7.</w:t>
      </w:r>
      <w:r>
        <w:t xml:space="preserve"> The sequence-variant dimension of the library is necessary, not incidental: a hypothetical consensus-only design would forfeit most of the platform's tumour selectivity. Although consensus binding sites are themselves tumour-active for nearly every motif, restricting the design to consensus sequences fails to recover roughly 60% of the enhancers reaching ≥4-fold tumour selectivity (and a comparable fraction at ≥2- and ≥8-fold). Because the most selective element of a motif is usually a non-consensus variant, systematically screening many variants per motif — the defining feature of TREND — is required to obtain the most cell-type-selective enhancers.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