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TREND — Figure legends and figure-generation methods</w:t>
      </w:r>
    </w:p>
    <w:p>
      <w:pPr>
        <w:pStyle w:val="Heading1"/>
      </w:pPr>
      <w:r>
        <w:t>Figure legends</w:t>
      </w:r>
    </w:p>
    <w:p>
      <w:pPr>
        <w:spacing w:after="200"/>
      </w:pPr>
      <w:r>
        <w:rPr>
          <w:b/>
        </w:rPr>
        <w:t>Figure 1. Sequence-variant activity landscapes for representative transcription-factor motifs.</w:t>
      </w:r>
      <w:r>
        <w:t xml:space="preserve"> Each of the twelve panels corresponds to a single transcription-factor position-weight matrix (PWM) from the ENCODE/MotifDb motif collection; the panel title gives the transcription factor, the source database, and the motif accession. Within a panel, every plotted point is one synthetic enhancer variant — a tandem-repeat reporter built from a distinct binding-site sequence sampled from that PWM. Each variant is positioned by its measured activity in OV8 ovarian-cancer cells (x-axis) and in IOSE normal ovarian surface-epithelial cells (y-axis), expressed as the mean RNA-to-DNA barcode ratio (reporter activity) on linear axes that are shared across all panels. The fill colour of each point encodes the variant's relative binding affinity for its own PWM, computed as the fraction-of-consensus score (the product across motif positions of the base probability divided by that column's maximum probability; a value of 1.0 corresponds to the consensus, i.e. optimal, sequence) and shown on the viridis colour scale at right. The dashed diagonal (y = x) denotes equal activity in tumour and normal cells (no selectivity); points below the diagonal are tumour-selective and points above are normal-selective. In every panel the consensus variant — operationally defined as the surviving variant with the highest relative affinity — is drawn as a thick black-outlined dot, and the most tumour-selective variant — the variant with the highest OV8/IOSE ratio among those with OV8 activity ≥ 0.1 — is drawn as a red star. The in-panel text (“gain N×”) reports the fold increase in tumour selectivity (OV8/IOSE) of the most-selective variant relative to the consensus. The twelve PWMs shown are those that (i) retained at least eight quantified variants after quality control, (ii) contained a genuine high-affinity consensus in the screened set (highest-affinity surviving variant ≥ 0.8 of the PWM maximum), and (iii) yielded a non-consensus variant at least two-fold more tumour-selective than the consensus; among these, the twelve with the highest absolute tumour selectivity are displayed. This figure is illustrative of single motifs; all quantitative, library-wide statements are supported by Figures 2–6.</w:t>
      </w:r>
    </w:p>
    <w:p>
      <w:pPr>
        <w:spacing w:after="200"/>
      </w:pPr>
      <w:r>
        <w:rPr>
          <w:b/>
        </w:rPr>
        <w:t>Figure 2. Distribution of tumour-versus-normal selectivity across all variants.</w:t>
      </w:r>
      <w:r>
        <w:t xml:space="preserve"> Histogram of the log2 selectivity ratio, log2(OV8/IOSE), for all 37,832 quantified enhancer variants (grey bars). The orange curve is a Gaussian kernel-density estimate of the same distribution, scaled to the histogram counts. The vertical crimson line marks the empirical neutral centre, defined as the mode of the kernel-density estimate; the dotted black line marks a log2 ratio of 0 (equal activity in the two cell types, i.e. a raw OV8/IOSE ratio of 1). Positive values denote tumour-selective variants (greater activity in OV8) and negative values denote normal-selective variants (greater activity in IOSE). Selectivity is computed from the raw activity ratio without a pseudocount, so values correspond exactly to the OV8/IOSE ratios reported in the interactive dashboard.</w:t>
      </w:r>
    </w:p>
    <w:p>
      <w:pPr>
        <w:spacing w:after="200"/>
      </w:pPr>
      <w:r>
        <w:rPr>
          <w:b/>
        </w:rPr>
        <w:t>Figure 3. Decomposition of variant-driven selectivity gains, by performance tier.</w:t>
      </w:r>
      <w:r>
        <w:t xml:space="preserve"> Each of the six panels shows one performance tier. Tiers are defined by ranking all 5,683 PWMs by the absolute tumour selectivity of their best variant and taking, cumulatively, the top 0.1%, 1%, 10%, 20%, 40%, and all PWMs (panel titles give the tier and the number of PWMs, n). Within a panel each point is one PWM, positioned by the change in tumour activity (x-axis) and the change in normal activity (y-axis) on moving from that PWM's consensus variant to its most tumour-selective variant; both changes are expressed in log2 units (best minus consensus) and clipped to ±3.2 for display. The dashed diagonal (y = x) marks selectivity-neutral changes, for which tumour and normal activity change by the same amount; points below the diagonal therefore represent a net gain in selectivity. Grey reference lines mark zero change on each axis, and the boxed text reports the median Δtumour and median Δnormal for that tier.</w:t>
      </w:r>
    </w:p>
    <w:p>
      <w:pPr>
        <w:spacing w:after="200"/>
      </w:pPr>
      <w:r>
        <w:rPr>
          <w:b/>
        </w:rPr>
        <w:t>Figure 4. Median tumour and normal activity from consensus to best variant, by performance tier.</w:t>
      </w:r>
      <w:r>
        <w:t xml:space="preserve"> Slope plot of population-median reporter activity for each of the six performance tiers (defined as in Figure 3; panel titles give the tier and n). In each panel the left-hand points are the median activity of the consensus variants and the right-hand points the median activity of the most tumour-selective variants, shown separately for tumour cells (OV8, red) and normal cells (IOSE, blue); the connecting lines indicate the direction and magnitude of each shift and the point labels give the median values (mean RNA/DNA ratio). The y-axis is scaled independently per panel so that tiers spanning very different absolute activity levels are each resolved.</w:t>
      </w:r>
    </w:p>
    <w:p>
      <w:pPr>
        <w:spacing w:after="200"/>
      </w:pPr>
      <w:r>
        <w:rPr>
          <w:b/>
        </w:rPr>
        <w:t>Figure 5. Affinity of the most tumour-selective variant within each motif.</w:t>
      </w:r>
      <w:r>
        <w:t xml:space="preserve"> Histogram of the within-PWM affinity rank of the most tumour-selective variant, computed for every PWM that retained at least four surviving variants with tumour activity ≥ 0.1. For each such PWM the most tumour-selective variant (highest OV8/IOSE) is identified and its relative-affinity rank among that PWM's variants is expressed as a percentile, where 0 denotes the weakest motif match in the set and 100 denotes the consensus. Bars are coloured by affinity band — the weakest fifth (red), the middle three-fifths (grey), and the strongest fifth, near the consensus (green) — and the dotted vertical lines mark the 20th and 80th-percentile band boundaries. The legend gives the percentage of PWMs whose most-selective variant falls in each band.</w:t>
      </w:r>
    </w:p>
    <w:p>
      <w:pPr>
        <w:spacing w:after="200"/>
      </w:pPr>
      <w:r>
        <w:rPr>
          <w:b/>
        </w:rPr>
        <w:t>Figure 6. Relationship between motif affinity and selectivity across all variants.</w:t>
      </w:r>
      <w:r>
        <w:t xml:space="preserve"> Two-dimensional density, by hexagonal binning, of all 37,832 variants according to their relative motif affinity (x-axis; 1.0 = consensus) and their log2 selectivity, log2(OV8/IOSE) (y-axis). Hexagon colour encodes the number of variants per bin on a linear scale (magma). The cyan line traces the median selectivity within twenty equal-width affinity bins, and the dotted white line marks the overall median selectivity across all variants.</w:t>
      </w:r>
    </w:p>
    <w:p>
      <w:pPr>
        <w:spacing w:after="200"/>
      </w:pPr>
      <w:r>
        <w:rPr>
          <w:b/>
        </w:rPr>
        <w:t>Figure 7. The sequence-variant dimension is necessary to recover the most tumour-selective enhancers.</w:t>
      </w:r>
      <w:r>
        <w:t xml:space="preserve"> A counterfactual comparison of two enhancer-library designs built from the same set of 5,683 motifs: a full variant library, which screens many binding-site variants per motif and may use the best variant of each, versus a consensus-only library, which contains only the single consensus (highest-affinity) binding site of each motif. (A) For each library, the tumour selectivity (OV8/IOSE) of the N-th most selective enhancer it can assemble — one enhancer per motif — is plotted against the number of enhancers selected, N (both axes logarithmic). The red curve is the full variant library (best surviving variant per motif, requiring OV8 activity ≥ 0.1); the grey curve is the consensus-only library (each motif's consensus variant, likewise requiring OV8 activity ≥ 0.1); the shaded band is the selectivity forfeited by restricting the design to consensus sequences. Dotted horizontal lines mark the 2-fold and 4-fold selectivity levels, annotated with the number of enhancers each library reaches at or above that level. (B) Number of motifs that yield a tumour-selective enhancer at or above a 2-, 4-, and 8-fold selectivity threshold for the full variant library (red) versus the consensus-only library (grey), on a logarithmic count axis; the bold label above each pair is the percentage of selective enhancers that the consensus-only design fails to recover. The two libraries contain essentially the same number of tumour-active motifs (5,683 vs 5,681), so the difference reflects selectivity, not coverage.</w:t>
      </w:r>
    </w:p>
    <w:p>
      <w:pPr>
        <w:pStyle w:val="Heading1"/>
      </w:pPr>
      <w:r>
        <w:t>Figure generation (how each figure is plotted)</w:t>
      </w:r>
    </w:p>
    <w:p>
      <w:pPr>
        <w:spacing w:after="200"/>
      </w:pPr>
      <w:r>
        <w:rPr>
          <w:b/>
        </w:rPr>
        <w:t>Input data and core definitions.</w:t>
      </w:r>
      <w:r>
        <w:t xml:space="preserve"> All figures are generated from a single per-variant table (one row per quantified synthetic enhancer variant). For each variant the table records its source PWM, transcription factor, binding-site sequence, number of tandem repeats, relative motif affinity, and mean reporter activity (RNA-to-DNA barcode ratio) in OV8 (tumour) and IOSE (normal) cells. Selectivity is defined as log2(OV8/IOSE), computed from raw activities without a pseudocount (no variant had zero activity in either cell type; the minimum observed activity was ~0.03), so the figures match the OV8/IOSE values shown in the dashboard. Relative motif affinity is the fraction-of-consensus score of each variant's binding site against its own PWM (∏_j p[j, seq_j] / max_b p[j, b]; 1.0 = consensus); it is pre-computed in the data table. For every PWM the consensus variant is the surviving variant of highest relative affinity, and the best variant is the most tumour-selective surviving variant (highest OV8/IOSE) among those with OV8 activity ≥ 0.1. Performance tiers are obtained by ranking all PWMs by their best variant's absolute selectivity and taking the cumulative top 0.1%, 1%, 10%, 20%, 40%, and all PWMs.</w:t>
      </w:r>
    </w:p>
    <w:p>
      <w:pPr>
        <w:spacing w:after="200"/>
      </w:pPr>
      <w:r>
        <w:rPr>
          <w:b/>
        </w:rPr>
        <w:t>Per-figure plotting.</w:t>
      </w:r>
      <w:r>
        <w:t xml:space="preserve"> Figure 1 plots, for twelve selected PWMs (selection criteria given in the legend), every variant in OV8-versus-IOSE activity space, coloured by relative affinity, with the consensus marked by a thick-outlined dot and the most-selective variant by a star; axes are shared and a y = x diagonal is drawn. Figure 2 histograms log2(OV8/IOSE) over all variants, overlays a Gaussian kernel-density estimate, and marks the density mode as the empirical neutral centre. Figure 3 plots, per tier, one point per PWM at (Δtumour, Δnormal) = (log2 best/consensus OV8, log2 best/consensus IOSE), with a y = x diagonal and the per-tier medians annotated. Figure 4 plots, per tier, the population-median OV8 and IOSE activity of consensus versus best variants as a two-point slope plot. Figure 5 histograms, over all qualifying PWMs, the within-PWM affinity percentile of the most-selective variant, coloured by affinity band. Figure 6 shows a linear-count hexagonal-bin density of all variants in affinity-versus-selectivity space with a binned median-selectivity trace. Figure 7 derives two enhancer-selection frontiers from the per-PWM summary: for the full variant library the per-PWM best-variant selectivities are sorted descending, and for the consensus-only library the per-PWM consensus-variant selectivities (consensus OV8 ≥ 0.1) are sorted descending; panel A plots both frontiers against selection rank with the gap shaded, and panel B counts, for each library, the PWMs whose selectivity meets each fold threshold.</w:t>
      </w:r>
    </w:p>
    <w:p>
      <w:pPr>
        <w:spacing w:after="200"/>
      </w:pPr>
      <w:r>
        <w:rPr>
          <w:b/>
        </w:rPr>
        <w:t>Software.</w:t>
      </w:r>
      <w:r>
        <w:t xml:space="preserve"> Figures were produced by a single Python script (make_figures.py) that reads the one data table (trend_ovca_variants.csv). Numerical work used numpy, pandas, and scipy (Gaussian kernel-density estimation). Figures 2, 3, 5, and 6 were drawn with matplotlib; Figures 1 and 4 were drawn with plotnine (a grammar-of-graphics library implementing the ggplot2 model). Each figure is written as a vector PDF for publication and a PNG for preview. The script and data table are provided as source code and source data for exact reproduction.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