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TREND (T-cell activation) — Conclusions by figure</w:t>
      </w:r>
    </w:p>
    <w:p>
      <w:r>
        <w:t>Each entry states the conclusion supported by the corresponding figure, with explicit comparison to the ovarian-cancer bundle. These are interpretations and are deliberately kept separate from the figure legends.</w:t>
      </w:r>
    </w:p>
    <w:p>
      <w:pPr>
        <w:spacing w:after="200"/>
      </w:pPr>
      <w:r>
        <w:rPr>
          <w:b/>
        </w:rPr>
        <w:t>Figure 1.</w:t>
      </w:r>
      <w:r>
        <w:t xml:space="preserve"> As in ovarian cancer, for T-cell motifs that possess a genuine high-affinity consensus a non-consensus sequence variant is frequently the most activation-selective element, often several-fold more selective than the consensus itself. Recovering the most state-selective enhancers therefore requires sampling many sequence variants of a motif rather than testing the consensus alone.</w:t>
      </w:r>
    </w:p>
    <w:p>
      <w:pPr>
        <w:spacing w:after="200"/>
      </w:pPr>
      <w:r>
        <w:rPr>
          <w:b/>
        </w:rPr>
        <w:t>Figure 2.</w:t>
      </w:r>
      <w:r>
        <w:t xml:space="preserve"> The activation-selectivity distribution is centred slightly below a Stim/Rest ratio of 1 — the empirical neutral point (≈ −0.19 log2) is essentially identical to that measured in ovarian cancer — and is asymmetric toward activation-selective variants. The same empirically-anchored, asymmetric selectivity structure recurs in an unrelated cell system.</w:t>
      </w:r>
    </w:p>
    <w:p>
      <w:pPr>
        <w:spacing w:after="200"/>
      </w:pPr>
      <w:r>
        <w:rPr>
          <w:b/>
        </w:rPr>
        <w:t>Figure 3.</w:t>
      </w:r>
      <w:r>
        <w:t xml:space="preserve"> Variant-driven selectivity gains arise predominantly from a reduction of activity in resting cells rather than an increase in stimulated cells (median Δstim ≈ 0; median Δrest strongly negative in the top tiers), reproducing the ovarian-cancer result. Variants chiefly suppress the off-state, the activity signature of raising the threshold for activation in low-input (resting) cells while remaining active in high-input (stimulated) cells.</w:t>
      </w:r>
    </w:p>
    <w:p>
      <w:pPr>
        <w:spacing w:after="200"/>
      </w:pPr>
      <w:r>
        <w:rPr>
          <w:b/>
        </w:rPr>
        <w:t>Figure 4.</w:t>
      </w:r>
      <w:r>
        <w:t xml:space="preserve"> Viewed as activity shifts, the same pattern is evident: across the most selective tiers, switching from the consensus to the best variant chiefly suppresses resting-cell activity while preserving stimulated-cell activity — the cross-context analogue of the ovarian-cancer normal-suppression mechanism.</w:t>
      </w:r>
    </w:p>
    <w:p>
      <w:pPr>
        <w:spacing w:after="200"/>
      </w:pPr>
      <w:r>
        <w:rPr>
          <w:b/>
        </w:rPr>
        <w:t>Figure 5.</w:t>
      </w:r>
      <w:r>
        <w:t xml:space="preserve"> There is no universal optimal binding affinity in T cells either: depending on the motif, the most activation-selective variant sits at low, intermediate, or near-consensus affinity. This motif-specific “Goldilocks” behaviour — the same as in ovarian cancer — is a direct rationale for screening a diverse panel of sequence variants per motif rather than relying on the consensus.</w:t>
      </w:r>
    </w:p>
    <w:p>
      <w:pPr>
        <w:spacing w:after="200"/>
      </w:pPr>
      <w:r>
        <w:rPr>
          <w:b/>
        </w:rPr>
        <w:t>Figure 6.</w:t>
      </w:r>
      <w:r>
        <w:t xml:space="preserve"> Across the full library, motif affinity does not predict selectivity: the median selectivity is flat with respect to affinity, and highly selective variants occur at every affinity level — identical to the ovarian-cancer finding. Cell-state selectivity cannot be inferred from binding-affinity scores alone and must be measured empirically.</w:t>
      </w:r>
    </w:p>
    <w:p>
      <w:pPr>
        <w:spacing w:after="200"/>
      </w:pPr>
      <w:r>
        <w:rPr>
          <w:b/>
        </w:rPr>
        <w:t>Figure 7.</w:t>
      </w:r>
      <w:r>
        <w:t xml:space="preserve"> The sequence-variant dimension is necessary in T cells just as in ovarian cancer: a hypothetical consensus-only design would forfeit roughly 60% of the enhancers reaching ≥2-, ≥4-, and ≥8-fold activation selectivity, even though consensus sites are themselves stim-active for essentially every motif. Because the most selective element of a motif is usually a non-consensus variant, systematically screening many variants per motif is required to obtain the most state-selective enhancers — a design principle that holds across both screened cell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