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Hillingdon Document Processor - PowerPoint Chart Pack</w:t>
      </w:r>
    </w:p>
    <w:p/>
    <w:p>
      <w:r>
        <w:t xml:space="preserve">Generated from the local codebase on 2026-04-29.</w:t>
      </w:r>
    </w:p>
    <w:p/>
    <w:p>
      <w:pPr>
        <w:pStyle w:val="Heading1"/>
      </w:pPr>
      <w:r>
        <w:t>Current Demo System</w:t>
      </w:r>
    </w:p>
    <w:p/>
    <w:p>
      <w:r>
        <w:t xml:space="preserve">The current implementation is a fully local pipeline:</w:t>
      </w:r>
    </w:p>
    <w:p/>
    <w:p>
      <w:r>
        <w:t xml:space="preserve">1. Upload document image/PDF.</w:t>
      </w:r>
    </w:p>
    <w:p>
      <w:r>
        <w:t xml:space="preserve">2. Preprocess with OpenCV-style cleaning: deskew, denoise, contrast, sharpen.</w:t>
      </w:r>
    </w:p>
    <w:p>
      <w:r>
        <w:t xml:space="preserve">3. Run EasyOCR for text plus word bounding boxes.</w:t>
      </w:r>
    </w:p>
    <w:p>
      <w:r>
        <w:t xml:space="preserve">4. Run the handwriting transcription layer. Today it falls back to `easyocr_baseline`; the optional target is `Qwen2.5-VL` through `MLX-VLM`.</w:t>
      </w:r>
    </w:p>
    <w:p>
      <w:r>
        <w:t xml:space="preserve">5. Apply category redaction profiles: `general_pii`, `medical_strict`, `financial_strict`, `safeguarding_strict`, `vehicle_parking`, `unknown_strict`.</w:t>
      </w:r>
    </w:p>
    <w:p>
      <w:r>
        <w:t xml:space="preserve">6. Redact text and image coordinates with opaque black masks.</w:t>
      </w:r>
    </w:p>
    <w:p>
      <w:r>
        <w:t xml:space="preserve">7. Detect/translate non-English text with local Qwen/Ollama or Helsinki MarianMT fallback.</w:t>
      </w:r>
    </w:p>
    <w:p>
      <w:r>
        <w:t xml:space="preserve">8. Classify category, recommend department, detect urgency, sentiment and safeguarding risk.</w:t>
      </w:r>
    </w:p>
    <w:p>
      <w:r>
        <w:t xml:space="preserve">9. Export redacted image, mask preview, raw OCR text, clean transcription, redacted text, JSON metadata, DOCX and audit trail.</w:t>
      </w:r>
    </w:p>
    <w:p/>
    <w:p>
      <w:pPr>
        <w:pStyle w:val="Heading1"/>
      </w:pPr>
      <w:r>
        <w:t>Measured Results From This Build</w:t>
      </w:r>
    </w:p>
    <w:p/>
    <w:p>
      <w:r>
        <w:t xml:space="preserve">| Metric | Result | Meaning |</w:t>
      </w:r>
    </w:p>
    <w:p>
      <w:r>
        <w:t xml:space="preserve">|---|---:|---|</w:t>
      </w:r>
    </w:p>
    <w:p>
      <w:r>
        <w:t xml:space="preserve">| Text redaction evaluator | 50/50 passed | Field labels, regex, profiles and safe-value preservation are working. |</w:t>
      </w:r>
    </w:p>
    <w:p>
      <w:r>
        <w:t xml:space="preserve">| Text redaction score | 100% | On the synthetic extracted-text suite. |</w:t>
      </w:r>
    </w:p>
    <w:p>
      <w:r>
        <w:t xml:space="preserve">| Handwriting benchmark cases | 9 | Includes one real handwritten screenshot and generated category cases. |</w:t>
      </w:r>
    </w:p>
    <w:p>
      <w:r>
        <w:t xml:space="preserve">| Avg handwriting transcription similarity | 88.8% | EasyOCR works on clean/generated handwriting but fails on the real sample. |</w:t>
      </w:r>
    </w:p>
    <w:p>
      <w:r>
        <w:t xml:space="preserve">| Required field recall | 84.3% | Pulled down by the real handwritten screenshot. |</w:t>
      </w:r>
    </w:p>
    <w:p>
      <w:r>
        <w:t xml:space="preserve">| Missed useful redactions | 0 | Redaction rules are now catching expected sensitive values when OCR sees them. |</w:t>
      </w:r>
    </w:p>
    <w:p>
      <w:r>
        <w:t xml:space="preserve">| Review flag correctness | 100.0% | Low-confidence handwriting is being routed to review. |</w:t>
      </w:r>
    </w:p>
    <w:p/>
    <w:p>
      <w:pPr>
        <w:pStyle w:val="Heading1"/>
      </w:pPr>
      <w:r>
        <w:t>Model Tiers For The Slides</w:t>
      </w:r>
    </w:p>
    <w:p/>
    <w:p>
      <w:r>
        <w:t xml:space="preserve">| Tier | What it uses | Best use | Variable API cost | Setup cost | Notes |</w:t>
      </w:r>
    </w:p>
    <w:p>
      <w:r>
        <w:t xml:space="preserve">|---|---|---|---:|---:|---|</w:t>
      </w:r>
    </w:p>
    <w:p>
      <w:r>
        <w:t xml:space="preserve">| Current demo | EasyOCR + regex/profile rules + optional Ollama Qwen text model | End-to-end local demo, typed documents, clean forms | £0/doc | £0 extra on existing Mac | Safe but weak on messy handwriting. |</w:t>
      </w:r>
    </w:p>
    <w:p>
      <w:r>
        <w:t xml:space="preserve">| PP-OCRv5 add-on | PaddleOCR PP-OCRv5 + current redaction | Better OCR for handwriting while keeping word boxes | £0/doc | £0-£900 depending hardware | Official docs highlight improved English handwriting support. |</w:t>
      </w:r>
    </w:p>
    <w:p>
      <w:r>
        <w:t xml:space="preserve">| Qwen2.5-VL 3B MLX | Local VLM on Apple Silicon through MLX-VLM | Clean full-page handwriting transcription and tags | £0/doc | £0 extra on M4 if performance is acceptable | Best next hackathon upgrade path. |</w:t>
      </w:r>
    </w:p>
    <w:p>
      <w:r>
        <w:t xml:space="preserve">| Qwen2.5-VL 7B MLX/GPU | Larger local VLM | Better accuracy on messy letters | £0/doc | ~£900+ if using cheap GPU node | More accurate but slower/heavier. |</w:t>
      </w:r>
    </w:p>
    <w:p>
      <w:r>
        <w:t xml:space="preserve">| Gemma 3 4B/12B | Google open multimodal model | Alternative local VLM with long context | £0/doc | depends on device | Good backup option; benchmark before choosing. |</w:t>
      </w:r>
    </w:p>
    <w:p>
      <w:r>
        <w:t xml:space="preserve">| Batch workstation | Dedicated GPU workstation | Council-scale batching | £0/doc | ~£3.5k+ | Useful if many departments process documents concurrently. |</w:t>
      </w:r>
    </w:p>
    <w:p/>
    <w:p>
      <w:pPr>
        <w:pStyle w:val="Heading1"/>
      </w:pPr>
      <w:r>
        <w:t>Slide Talking Points</w:t>
      </w:r>
    </w:p>
    <w:p/>
    <w:p>
      <w:r>
        <w:t xml:space="preserve">• The system is designed so **paid API cost is zero**. Cost moves to local hardware, support and electricity.</w:t>
      </w:r>
    </w:p>
    <w:p>
      <w:r>
        <w:t xml:space="preserve">• The current code already proves the full product flow: upload, OCR, redaction, translation, routing, review, export and audit.</w:t>
      </w:r>
    </w:p>
    <w:p>
      <w:r>
        <w:t xml:space="preserve">• Text redaction is strong in controlled extracted text: `50/50` cases passed.</w:t>
      </w:r>
    </w:p>
    <w:p>
      <w:r>
        <w:t xml:space="preserve">• Handwriting is the known risk: EasyOCR alone failed the real handwritten screenshot, so the app safely marks it for review.</w:t>
      </w:r>
    </w:p>
    <w:p>
      <w:r>
        <w:t xml:space="preserve">• The right technical upgrade is not replacing redaction. It is adding a stronger local transcription/tagging layer before redaction: PP-OCRv5 and/or Qwen2.5-VL through MLX-VLM.</w:t>
      </w:r>
    </w:p>
    <w:p>
      <w:r>
        <w:t xml:space="preserve">• The safest product story: **coordinate OCR for black image masks + VLM for clean transcription and semantic tags + human review when confidence is low**.</w:t>
      </w:r>
    </w:p>
    <w:p/>
    <w:p>
      <w:pPr>
        <w:pStyle w:val="Heading1"/>
      </w:pPr>
      <w:r>
        <w:t>Chart Files</w:t>
      </w:r>
    </w:p>
    <w:p/>
    <w:p>
      <w:r>
        <w:t xml:space="preserve">• `01_current_pipeline_flow.svg`</w:t>
      </w:r>
    </w:p>
    <w:p>
      <w:r>
        <w:t xml:space="preserve">• `02_measured_quality_metrics.svg`</w:t>
      </w:r>
    </w:p>
    <w:p>
      <w:r>
        <w:t xml:space="preserve">• `03_speed_cost_model_tiers.svg`</w:t>
      </w:r>
    </w:p>
    <w:p>
      <w:r>
        <w:t xml:space="preserve">• `04_staff_time_savings.svg`</w:t>
      </w:r>
    </w:p>
    <w:p>
      <w:r>
        <w:t xml:space="preserve">• `05_handwriting_gap.svg`</w:t>
      </w:r>
    </w:p>
    <w:p>
      <w:r>
        <w:t xml:space="preserve">• `06_local_cost_stack.svg`</w:t>
      </w:r>
    </w:p>
    <w:p>
      <w:r>
        <w:t xml:space="preserve">• `00_pipeline_flowchart.mmd`</w:t>
      </w:r>
    </w:p>
    <w:p/>
    <w:p>
      <w:pPr>
        <w:pStyle w:val="Heading1"/>
      </w:pPr>
      <w:r>
        <w:t>Sources For Model Claims</w:t>
      </w:r>
    </w:p>
    <w:p/>
    <w:p>
      <w:r>
        <w:t xml:space="preserve">• PaddleOCR PP-OCRv5 documentation: supports major text types and reports upgraded complex English handwriting capability, with PP-OCRv5 improving over PP-OCRv4.</w:t>
      </w:r>
    </w:p>
    <w:p>
      <w:r>
        <w:t xml:space="preserve">• Qwen2.5-VL 3B model card: vision-language model for text, chart, icon, layout analysis, structured outputs, and available 3B/7B/72B sizes.</w:t>
      </w:r>
    </w:p>
    <w:p>
      <w:r>
        <w:t xml:space="preserve">• MLX-VLM GitHub: local VLM inference/fine-tuning on Apple Silicon using MLX.</w:t>
      </w:r>
    </w:p>
    <w:p>
      <w:r>
        <w:t xml:space="preserve">• Google Gemma 3 model card: open multimodal models with text+image input, 128K context for 4B/12B/27B, and local deployment suitability.</w:t>
      </w:r>
    </w:p>
    <w:p/>
    <w:p>
      <w:pPr>
        <w:pStyle w:val="Heading1"/>
      </w:pPr>
      <w:r>
        <w:t>Important Caveat</w:t>
      </w:r>
    </w:p>
    <w:p/>
    <w:p>
      <w:r>
        <w:t xml:space="preserve">The speed/cost tier chart uses measured current-system results plus planning estimates for not-yet-benchmarked model tiers. Before a council procurement claim, run the same `evaluate_handwriting_product.py` benchmark on the actual target hardware with PP-OCRv5 and Qwen2.5-VL enabled.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