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6B2" w:rsidRDefault="009D4360" w:rsidP="009D4360">
      <w:pPr>
        <w:pStyle w:val="Titel"/>
        <w:rPr>
          <w:lang w:val="en-US"/>
        </w:rPr>
      </w:pPr>
      <w:r>
        <w:rPr>
          <w:lang w:val="en-US"/>
        </w:rPr>
        <w:t>Syntony</w:t>
      </w:r>
    </w:p>
    <w:p w:rsidR="009D4360" w:rsidRDefault="009D4360">
      <w:pPr>
        <w:rPr>
          <w:lang w:val="en-US"/>
        </w:rPr>
      </w:pPr>
    </w:p>
    <w:p w:rsidR="009D4360" w:rsidRDefault="009D4360">
      <w:pPr>
        <w:rPr>
          <w:lang w:val="en-US"/>
        </w:rPr>
      </w:pPr>
    </w:p>
    <w:p w:rsidR="009D4360" w:rsidRDefault="009D4360">
      <w:pPr>
        <w:rPr>
          <w:lang w:val="en-US"/>
        </w:rPr>
      </w:pPr>
      <w:r>
        <w:rPr>
          <w:lang w:val="en-US"/>
        </w:rPr>
        <w:t>Syntony</w:t>
      </w:r>
      <w:r w:rsidR="002B4AD4">
        <w:rPr>
          <w:lang w:val="en-US"/>
        </w:rPr>
        <w:t xml:space="preserve"> </w:t>
      </w:r>
      <w:r>
        <w:rPr>
          <w:lang w:val="en-US"/>
        </w:rPr>
        <w:t>is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name</w:t>
      </w:r>
      <w:r w:rsidR="002B4AD4">
        <w:rPr>
          <w:lang w:val="en-US"/>
        </w:rPr>
        <w:t xml:space="preserve"> </w:t>
      </w:r>
      <w:r>
        <w:rPr>
          <w:lang w:val="en-US"/>
        </w:rPr>
        <w:t>of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company.</w:t>
      </w:r>
    </w:p>
    <w:p w:rsidR="009D4360" w:rsidRDefault="009D4360">
      <w:pPr>
        <w:rPr>
          <w:lang w:val="en-US"/>
        </w:rPr>
      </w:pPr>
    </w:p>
    <w:p w:rsidR="009D4360" w:rsidRDefault="009D4360">
      <w:pPr>
        <w:rPr>
          <w:lang w:val="en-US"/>
        </w:rPr>
      </w:pP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organization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of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any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Syntony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deliverable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product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looks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as</w:t>
      </w:r>
      <w:r w:rsidR="002B4AD4">
        <w:rPr>
          <w:lang w:val="en-US"/>
        </w:rPr>
        <w:t xml:space="preserve"> </w:t>
      </w:r>
      <w:r w:rsidR="003248D3">
        <w:rPr>
          <w:lang w:val="en-US"/>
        </w:rPr>
        <w:t>follows:</w:t>
      </w:r>
    </w:p>
    <w:p w:rsidR="003C1AAB" w:rsidRDefault="003248D3">
      <w:pPr>
        <w:rPr>
          <w:lang w:val="en-US"/>
        </w:rPr>
      </w:pPr>
      <w:r>
        <w:rPr>
          <w:lang w:val="en-US"/>
        </w:rPr>
        <w:t>A</w:t>
      </w:r>
      <w:r w:rsidR="002B4AD4">
        <w:rPr>
          <w:lang w:val="en-US"/>
        </w:rPr>
        <w:t xml:space="preserve"> </w:t>
      </w:r>
      <w:r>
        <w:rPr>
          <w:lang w:val="en-US"/>
        </w:rPr>
        <w:t>Company</w:t>
      </w:r>
      <w:r w:rsidR="002B4AD4">
        <w:rPr>
          <w:lang w:val="en-US"/>
        </w:rPr>
        <w:t xml:space="preserve"> </w:t>
      </w:r>
      <w:r>
        <w:rPr>
          <w:lang w:val="en-US"/>
        </w:rPr>
        <w:t>has</w:t>
      </w:r>
      <w:r w:rsidR="002B4AD4">
        <w:rPr>
          <w:lang w:val="en-US"/>
        </w:rPr>
        <w:t xml:space="preserve"> </w:t>
      </w:r>
      <w:r>
        <w:rPr>
          <w:lang w:val="en-US"/>
        </w:rPr>
        <w:t>products.</w:t>
      </w:r>
      <w:r w:rsidR="002B4AD4">
        <w:rPr>
          <w:lang w:val="en-US"/>
        </w:rPr>
        <w:t xml:space="preserve"> </w:t>
      </w:r>
      <w:r>
        <w:rPr>
          <w:lang w:val="en-US"/>
        </w:rPr>
        <w:t>A</w:t>
      </w:r>
      <w:r w:rsidR="002B4AD4">
        <w:rPr>
          <w:lang w:val="en-US"/>
        </w:rPr>
        <w:t xml:space="preserve"> </w:t>
      </w:r>
      <w:r>
        <w:rPr>
          <w:lang w:val="en-US"/>
        </w:rPr>
        <w:t>product</w:t>
      </w:r>
      <w:r w:rsidR="002B4AD4">
        <w:rPr>
          <w:lang w:val="en-US"/>
        </w:rPr>
        <w:t xml:space="preserve"> </w:t>
      </w:r>
      <w:r>
        <w:rPr>
          <w:lang w:val="en-US"/>
        </w:rPr>
        <w:t>contains</w:t>
      </w:r>
      <w:r w:rsidR="002B4AD4">
        <w:rPr>
          <w:lang w:val="en-US"/>
        </w:rPr>
        <w:t xml:space="preserve"> </w:t>
      </w:r>
      <w:r>
        <w:rPr>
          <w:lang w:val="en-US"/>
        </w:rPr>
        <w:t>one</w:t>
      </w:r>
      <w:r w:rsidR="002B4AD4">
        <w:rPr>
          <w:lang w:val="en-US"/>
        </w:rPr>
        <w:t xml:space="preserve"> </w:t>
      </w:r>
      <w:r>
        <w:rPr>
          <w:lang w:val="en-US"/>
        </w:rPr>
        <w:t>or</w:t>
      </w:r>
      <w:r w:rsidR="002B4AD4">
        <w:rPr>
          <w:lang w:val="en-US"/>
        </w:rPr>
        <w:t xml:space="preserve"> </w:t>
      </w:r>
      <w:r>
        <w:rPr>
          <w:lang w:val="en-US"/>
        </w:rPr>
        <w:t>more</w:t>
      </w:r>
      <w:r w:rsidR="002B4AD4">
        <w:rPr>
          <w:lang w:val="en-US"/>
        </w:rPr>
        <w:t xml:space="preserve"> </w:t>
      </w:r>
      <w:r>
        <w:rPr>
          <w:lang w:val="en-US"/>
        </w:rPr>
        <w:t>packages.</w:t>
      </w:r>
    </w:p>
    <w:p w:rsidR="003C1AAB" w:rsidRDefault="003C1AAB" w:rsidP="003C1AAB">
      <w:pPr>
        <w:jc w:val="center"/>
        <w:rPr>
          <w:lang w:val="en-US"/>
        </w:rPr>
      </w:pPr>
      <w:r w:rsidRPr="003C1AAB">
        <w:rPr>
          <w:noProof/>
          <w:lang w:eastAsia="de-DE"/>
        </w:rPr>
        <w:drawing>
          <wp:inline distT="0" distB="0" distL="0" distR="0">
            <wp:extent cx="4413250" cy="2355850"/>
            <wp:effectExtent l="0" t="0" r="635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D3" w:rsidRDefault="003248D3">
      <w:pPr>
        <w:rPr>
          <w:lang w:val="en-US"/>
        </w:rPr>
      </w:pPr>
      <w:r>
        <w:rPr>
          <w:lang w:val="en-US"/>
        </w:rPr>
        <w:t>A</w:t>
      </w:r>
      <w:r w:rsidR="002B4AD4">
        <w:rPr>
          <w:lang w:val="en-US"/>
        </w:rPr>
        <w:t xml:space="preserve"> </w:t>
      </w:r>
      <w:r>
        <w:rPr>
          <w:lang w:val="en-US"/>
        </w:rPr>
        <w:t>package</w:t>
      </w:r>
      <w:r w:rsidR="002B4AD4">
        <w:rPr>
          <w:lang w:val="en-US"/>
        </w:rPr>
        <w:t xml:space="preserve"> </w:t>
      </w:r>
      <w:r>
        <w:rPr>
          <w:lang w:val="en-US"/>
        </w:rPr>
        <w:t>is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a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logic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unit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of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one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or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more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assemblies.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Usually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a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Syntony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Package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has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3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assemblies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by</w:t>
      </w:r>
      <w:r w:rsidR="002B4AD4">
        <w:rPr>
          <w:lang w:val="en-US"/>
        </w:rPr>
        <w:t xml:space="preserve"> </w:t>
      </w:r>
      <w:r w:rsidR="003C1AAB">
        <w:rPr>
          <w:lang w:val="en-US"/>
        </w:rPr>
        <w:t>default:</w:t>
      </w:r>
    </w:p>
    <w:p w:rsidR="003C1AAB" w:rsidRDefault="003C1AAB" w:rsidP="003C1A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base</w:t>
      </w:r>
      <w:r w:rsidR="002B4AD4">
        <w:rPr>
          <w:lang w:val="en-US"/>
        </w:rPr>
        <w:t xml:space="preserve"> </w:t>
      </w:r>
      <w:r>
        <w:rPr>
          <w:lang w:val="en-US"/>
        </w:rPr>
        <w:t>assembly.</w:t>
      </w:r>
      <w:r w:rsidR="002B4AD4">
        <w:rPr>
          <w:lang w:val="en-US"/>
        </w:rPr>
        <w:t xml:space="preserve"> </w:t>
      </w:r>
      <w:r>
        <w:rPr>
          <w:lang w:val="en-US"/>
        </w:rPr>
        <w:t>It’s</w:t>
      </w:r>
      <w:r w:rsidR="002B4AD4">
        <w:rPr>
          <w:lang w:val="en-US"/>
        </w:rPr>
        <w:t xml:space="preserve"> </w:t>
      </w:r>
      <w:r>
        <w:rPr>
          <w:lang w:val="en-US"/>
        </w:rPr>
        <w:t>named</w:t>
      </w:r>
      <w:r w:rsidR="002B4AD4">
        <w:rPr>
          <w:lang w:val="en-US"/>
        </w:rPr>
        <w:t xml:space="preserve"> </w:t>
      </w:r>
      <w:r>
        <w:rPr>
          <w:lang w:val="en-US"/>
        </w:rPr>
        <w:t>like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package.</w:t>
      </w:r>
    </w:p>
    <w:p w:rsidR="003C1AAB" w:rsidRDefault="003C1AAB" w:rsidP="003C1A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abstractions</w:t>
      </w:r>
      <w:r w:rsidR="002B4AD4">
        <w:rPr>
          <w:lang w:val="en-US"/>
        </w:rPr>
        <w:t xml:space="preserve"> </w:t>
      </w:r>
      <w:r>
        <w:rPr>
          <w:lang w:val="en-US"/>
        </w:rPr>
        <w:t>assembly,</w:t>
      </w:r>
      <w:r w:rsidR="002B4AD4">
        <w:rPr>
          <w:lang w:val="en-US"/>
        </w:rPr>
        <w:t xml:space="preserve"> </w:t>
      </w:r>
      <w:r>
        <w:rPr>
          <w:lang w:val="en-US"/>
        </w:rPr>
        <w:t>defining</w:t>
      </w:r>
      <w:r w:rsidR="002B4AD4">
        <w:rPr>
          <w:lang w:val="en-US"/>
        </w:rPr>
        <w:t xml:space="preserve"> </w:t>
      </w:r>
      <w:r>
        <w:rPr>
          <w:lang w:val="en-US"/>
        </w:rPr>
        <w:t>all</w:t>
      </w:r>
      <w:r w:rsidR="002B4AD4">
        <w:rPr>
          <w:lang w:val="en-US"/>
        </w:rPr>
        <w:t xml:space="preserve"> </w:t>
      </w:r>
      <w:r>
        <w:rPr>
          <w:lang w:val="en-US"/>
        </w:rPr>
        <w:t>interfaces</w:t>
      </w:r>
      <w:r w:rsidR="002B4AD4">
        <w:rPr>
          <w:lang w:val="en-US"/>
        </w:rPr>
        <w:t xml:space="preserve"> </w:t>
      </w:r>
      <w:r>
        <w:rPr>
          <w:lang w:val="en-US"/>
        </w:rPr>
        <w:t>and</w:t>
      </w:r>
      <w:r w:rsidR="002B4AD4">
        <w:rPr>
          <w:lang w:val="en-US"/>
        </w:rPr>
        <w:t xml:space="preserve"> </w:t>
      </w:r>
      <w:r>
        <w:rPr>
          <w:lang w:val="en-US"/>
        </w:rPr>
        <w:t>abstract</w:t>
      </w:r>
      <w:r w:rsidR="002B4AD4">
        <w:rPr>
          <w:lang w:val="en-US"/>
        </w:rPr>
        <w:t xml:space="preserve"> </w:t>
      </w:r>
      <w:r>
        <w:rPr>
          <w:lang w:val="en-US"/>
        </w:rPr>
        <w:t>base</w:t>
      </w:r>
      <w:r w:rsidR="002B4AD4">
        <w:rPr>
          <w:lang w:val="en-US"/>
        </w:rPr>
        <w:t xml:space="preserve"> </w:t>
      </w:r>
      <w:r>
        <w:rPr>
          <w:lang w:val="en-US"/>
        </w:rPr>
        <w:t>classes.</w:t>
      </w:r>
    </w:p>
    <w:p w:rsidR="003C1AAB" w:rsidRPr="003C1AAB" w:rsidRDefault="003C1AAB" w:rsidP="003C1AA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default</w:t>
      </w:r>
      <w:r w:rsidR="002B4AD4">
        <w:rPr>
          <w:lang w:val="en-US"/>
        </w:rPr>
        <w:t xml:space="preserve"> </w:t>
      </w:r>
      <w:r>
        <w:rPr>
          <w:lang w:val="en-US"/>
        </w:rPr>
        <w:t>assembly,</w:t>
      </w:r>
      <w:r w:rsidR="002B4AD4">
        <w:rPr>
          <w:lang w:val="en-US"/>
        </w:rPr>
        <w:t xml:space="preserve"> </w:t>
      </w:r>
      <w:r>
        <w:rPr>
          <w:lang w:val="en-US"/>
        </w:rPr>
        <w:t>defining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null</w:t>
      </w:r>
      <w:r w:rsidR="002B4AD4">
        <w:rPr>
          <w:lang w:val="en-US"/>
        </w:rPr>
        <w:t xml:space="preserve"> </w:t>
      </w:r>
      <w:r>
        <w:rPr>
          <w:lang w:val="en-US"/>
        </w:rPr>
        <w:t>and</w:t>
      </w:r>
      <w:r w:rsidR="002B4AD4">
        <w:rPr>
          <w:lang w:val="en-US"/>
        </w:rPr>
        <w:t xml:space="preserve"> </w:t>
      </w:r>
      <w:r>
        <w:rPr>
          <w:lang w:val="en-US"/>
        </w:rPr>
        <w:t>default</w:t>
      </w:r>
      <w:r w:rsidR="002B4AD4">
        <w:rPr>
          <w:lang w:val="en-US"/>
        </w:rPr>
        <w:t xml:space="preserve"> </w:t>
      </w:r>
      <w:r>
        <w:rPr>
          <w:lang w:val="en-US"/>
        </w:rPr>
        <w:t>implementation</w:t>
      </w:r>
      <w:r w:rsidR="002B4AD4">
        <w:rPr>
          <w:lang w:val="en-US"/>
        </w:rPr>
        <w:t xml:space="preserve"> </w:t>
      </w:r>
      <w:r>
        <w:rPr>
          <w:lang w:val="en-US"/>
        </w:rPr>
        <w:t>of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abstractions</w:t>
      </w:r>
      <w:r w:rsidR="002B4AD4">
        <w:rPr>
          <w:lang w:val="en-US"/>
        </w:rPr>
        <w:t xml:space="preserve"> </w:t>
      </w:r>
      <w:r>
        <w:rPr>
          <w:lang w:val="en-US"/>
        </w:rPr>
        <w:t>assembly.</w:t>
      </w:r>
    </w:p>
    <w:p w:rsidR="003248D3" w:rsidRDefault="003248D3" w:rsidP="003C1AAB">
      <w:pPr>
        <w:jc w:val="center"/>
        <w:rPr>
          <w:lang w:val="en-US"/>
        </w:rPr>
      </w:pPr>
      <w:r w:rsidRPr="003248D3">
        <w:rPr>
          <w:noProof/>
          <w:lang w:eastAsia="de-DE"/>
        </w:rPr>
        <w:drawing>
          <wp:inline distT="0" distB="0" distL="0" distR="0">
            <wp:extent cx="4323453" cy="3016250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211" cy="302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60" w:rsidRDefault="003C1AAB">
      <w:pPr>
        <w:rPr>
          <w:lang w:val="en-US"/>
        </w:rPr>
      </w:pPr>
      <w:r>
        <w:rPr>
          <w:lang w:val="en-US"/>
        </w:rPr>
        <w:lastRenderedPageBreak/>
        <w:t>So</w:t>
      </w:r>
      <w:r w:rsidR="002B4AD4">
        <w:rPr>
          <w:lang w:val="en-US"/>
        </w:rPr>
        <w:t xml:space="preserve"> </w:t>
      </w:r>
      <w:r>
        <w:rPr>
          <w:lang w:val="en-US"/>
        </w:rPr>
        <w:t>let’s</w:t>
      </w:r>
      <w:r w:rsidR="002B4AD4">
        <w:rPr>
          <w:lang w:val="en-US"/>
        </w:rPr>
        <w:t xml:space="preserve"> </w:t>
      </w:r>
      <w:r>
        <w:rPr>
          <w:lang w:val="en-US"/>
        </w:rPr>
        <w:t>have</w:t>
      </w:r>
      <w:r w:rsidR="002B4AD4">
        <w:rPr>
          <w:lang w:val="en-US"/>
        </w:rPr>
        <w:t xml:space="preserve"> </w:t>
      </w:r>
      <w:r>
        <w:rPr>
          <w:lang w:val="en-US"/>
        </w:rPr>
        <w:t>a</w:t>
      </w:r>
      <w:r w:rsidR="002B4AD4">
        <w:rPr>
          <w:lang w:val="en-US"/>
        </w:rPr>
        <w:t xml:space="preserve"> </w:t>
      </w:r>
      <w:r>
        <w:rPr>
          <w:lang w:val="en-US"/>
        </w:rPr>
        <w:t>look</w:t>
      </w:r>
      <w:r w:rsidR="002B4AD4">
        <w:rPr>
          <w:lang w:val="en-US"/>
        </w:rPr>
        <w:t xml:space="preserve"> </w:t>
      </w:r>
      <w:r>
        <w:rPr>
          <w:lang w:val="en-US"/>
        </w:rPr>
        <w:t>at</w:t>
      </w:r>
      <w:r w:rsidR="002B4AD4">
        <w:rPr>
          <w:lang w:val="en-US"/>
        </w:rPr>
        <w:t xml:space="preserve"> </w:t>
      </w:r>
      <w:r>
        <w:rPr>
          <w:lang w:val="en-US"/>
        </w:rPr>
        <w:t>the</w:t>
      </w:r>
      <w:r w:rsidR="002B4AD4">
        <w:rPr>
          <w:lang w:val="en-US"/>
        </w:rPr>
        <w:t xml:space="preserve"> </w:t>
      </w:r>
      <w:r>
        <w:rPr>
          <w:lang w:val="en-US"/>
        </w:rPr>
        <w:t>naming</w:t>
      </w:r>
      <w:r w:rsidR="002B4AD4">
        <w:rPr>
          <w:lang w:val="en-US"/>
        </w:rPr>
        <w:t xml:space="preserve"> </w:t>
      </w:r>
      <w:r>
        <w:rPr>
          <w:lang w:val="en-US"/>
        </w:rPr>
        <w:t>of</w:t>
      </w:r>
      <w:r w:rsidR="002B4AD4">
        <w:rPr>
          <w:lang w:val="en-US"/>
        </w:rPr>
        <w:t xml:space="preserve"> </w:t>
      </w:r>
      <w:r>
        <w:rPr>
          <w:lang w:val="en-US"/>
        </w:rPr>
        <w:t>each</w:t>
      </w:r>
      <w:r w:rsidR="002B4AD4">
        <w:rPr>
          <w:lang w:val="en-US"/>
        </w:rPr>
        <w:t xml:space="preserve"> </w:t>
      </w:r>
      <w:r>
        <w:rPr>
          <w:lang w:val="en-US"/>
        </w:rPr>
        <w:t>component: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1AAB" w:rsidTr="003C1AAB">
        <w:tc>
          <w:tcPr>
            <w:tcW w:w="4531" w:type="dxa"/>
          </w:tcPr>
          <w:p w:rsidR="003C1AAB" w:rsidRDefault="003C1AAB">
            <w:pPr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4531" w:type="dxa"/>
          </w:tcPr>
          <w:p w:rsidR="003C1AAB" w:rsidRDefault="003C1AAB">
            <w:pPr>
              <w:rPr>
                <w:lang w:val="en-US"/>
              </w:rPr>
            </w:pPr>
            <w:r>
              <w:rPr>
                <w:lang w:val="en-US"/>
              </w:rPr>
              <w:t>Syntony</w:t>
            </w:r>
          </w:p>
        </w:tc>
      </w:tr>
      <w:tr w:rsidR="003C1AAB" w:rsidTr="003C1AAB">
        <w:tc>
          <w:tcPr>
            <w:tcW w:w="4531" w:type="dxa"/>
          </w:tcPr>
          <w:p w:rsidR="003C1AAB" w:rsidRDefault="003C1AAB">
            <w:pPr>
              <w:rPr>
                <w:lang w:val="en-US"/>
              </w:rPr>
            </w:pPr>
            <w:r>
              <w:rPr>
                <w:lang w:val="en-US"/>
              </w:rPr>
              <w:t>Package</w:t>
            </w:r>
          </w:p>
        </w:tc>
        <w:tc>
          <w:tcPr>
            <w:tcW w:w="4531" w:type="dxa"/>
          </w:tcPr>
          <w:p w:rsidR="003C1AAB" w:rsidRDefault="003C1AAB">
            <w:pPr>
              <w:rPr>
                <w:lang w:val="en-US"/>
              </w:rPr>
            </w:pPr>
            <w:r>
              <w:rPr>
                <w:lang w:val="en-US"/>
              </w:rPr>
              <w:t>Syntony.Solutions</w:t>
            </w:r>
          </w:p>
        </w:tc>
      </w:tr>
      <w:tr w:rsidR="003C1AAB" w:rsidRPr="002B4AD4" w:rsidTr="003C1AAB">
        <w:tc>
          <w:tcPr>
            <w:tcW w:w="4531" w:type="dxa"/>
          </w:tcPr>
          <w:p w:rsidR="003C1AAB" w:rsidRDefault="003C1AAB">
            <w:pPr>
              <w:rPr>
                <w:lang w:val="en-US"/>
              </w:rPr>
            </w:pPr>
            <w:r>
              <w:rPr>
                <w:lang w:val="en-US"/>
              </w:rPr>
              <w:t>Assemblies</w:t>
            </w:r>
          </w:p>
        </w:tc>
        <w:tc>
          <w:tcPr>
            <w:tcW w:w="4531" w:type="dxa"/>
          </w:tcPr>
          <w:p w:rsidR="003C1AAB" w:rsidRDefault="003C1AAB">
            <w:pPr>
              <w:rPr>
                <w:lang w:val="en-US"/>
              </w:rPr>
            </w:pPr>
            <w:r>
              <w:rPr>
                <w:lang w:val="en-US"/>
              </w:rPr>
              <w:t>Syntony.Solutions</w:t>
            </w:r>
            <w:r>
              <w:rPr>
                <w:lang w:val="en-US"/>
              </w:rPr>
              <w:br/>
              <w:t>Syntony.Solutions.Abstractions</w:t>
            </w:r>
          </w:p>
          <w:p w:rsidR="003C1AAB" w:rsidRDefault="003C1AAB">
            <w:pPr>
              <w:rPr>
                <w:lang w:val="en-US"/>
              </w:rPr>
            </w:pPr>
            <w:r>
              <w:rPr>
                <w:lang w:val="en-US"/>
              </w:rPr>
              <w:t>Syntony.Solutions.Default</w:t>
            </w:r>
          </w:p>
        </w:tc>
      </w:tr>
    </w:tbl>
    <w:p w:rsidR="003C1AAB" w:rsidRDefault="003C1AAB">
      <w:pPr>
        <w:rPr>
          <w:lang w:val="en-US"/>
        </w:rPr>
      </w:pPr>
    </w:p>
    <w:p w:rsidR="009D4360" w:rsidRDefault="009D4360" w:rsidP="005915F5">
      <w:pPr>
        <w:jc w:val="both"/>
        <w:rPr>
          <w:lang w:val="en-US"/>
        </w:rPr>
      </w:pP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contain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multiple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modules.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.</w:t>
      </w:r>
      <w:r>
        <w:rPr>
          <w:lang w:val="en-US"/>
        </w:rPr>
        <w:t>N</w:t>
      </w:r>
      <w:r w:rsidRPr="009D4360">
        <w:rPr>
          <w:lang w:val="en-US"/>
        </w:rPr>
        <w:t>et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difference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between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and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module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module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does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not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contain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manifest</w:t>
      </w:r>
      <w:r w:rsidRPr="009D4360">
        <w:rPr>
          <w:lang w:val="en-US"/>
        </w:rPr>
        <w:t>.</w:t>
      </w:r>
    </w:p>
    <w:p w:rsidR="009D4360" w:rsidRPr="003248D3" w:rsidRDefault="009D4360" w:rsidP="005915F5">
      <w:pPr>
        <w:jc w:val="both"/>
        <w:rPr>
          <w:lang w:val="en-US"/>
        </w:rPr>
      </w:pP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manifest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another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set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metadata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tables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basically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contain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names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files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are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part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assembly.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They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also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describe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assembly’s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version,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culture,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publisher,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publicly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exported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types,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and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all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files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comprise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assembly.</w:t>
      </w:r>
    </w:p>
    <w:p w:rsidR="009D4360" w:rsidRPr="003248D3" w:rsidRDefault="009D4360" w:rsidP="005915F5">
      <w:pPr>
        <w:jc w:val="both"/>
        <w:rPr>
          <w:lang w:val="en-US"/>
        </w:rPr>
      </w:pP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CLR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operates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assemblies;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is,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CLR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always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loads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file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contains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manifest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metadata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tables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first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and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uses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manifest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to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get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names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other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files/modules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that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are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assembly.</w:t>
      </w:r>
    </w:p>
    <w:p w:rsidR="009D4360" w:rsidRPr="009D4360" w:rsidRDefault="009D4360" w:rsidP="005915F5">
      <w:pPr>
        <w:jc w:val="both"/>
        <w:rPr>
          <w:lang w:val="en-US"/>
        </w:rPr>
      </w:pPr>
      <w:r w:rsidRPr="009D4360">
        <w:rPr>
          <w:lang w:val="en-US"/>
        </w:rPr>
        <w:t>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.Net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framework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minimum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unit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deployment.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You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cannot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deploy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anything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less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To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CLR,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type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does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not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exist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outside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context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assembly.</w:t>
      </w:r>
    </w:p>
    <w:p w:rsidR="009D4360" w:rsidRPr="009D4360" w:rsidRDefault="005915F5" w:rsidP="005915F5">
      <w:pPr>
        <w:jc w:val="both"/>
        <w:rPr>
          <w:lang w:val="en-US"/>
        </w:rPr>
      </w:pPr>
      <w:r>
        <w:rPr>
          <w:lang w:val="en-US"/>
        </w:rPr>
        <w:t xml:space="preserve">An </w:t>
      </w:r>
      <w:r w:rsidR="009D4360"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can</w:t>
      </w:r>
      <w:r w:rsidR="002B4AD4">
        <w:rPr>
          <w:lang w:val="en-US"/>
        </w:rPr>
        <w:t xml:space="preserve"> </w:t>
      </w:r>
      <w:r w:rsidR="009D4360" w:rsidRPr="003248D3">
        <w:rPr>
          <w:lang w:val="en-US"/>
        </w:rPr>
        <w:t>contain</w:t>
      </w:r>
      <w:r w:rsidR="002B4AD4">
        <w:rPr>
          <w:lang w:val="en-US"/>
        </w:rPr>
        <w:t xml:space="preserve"> </w:t>
      </w:r>
      <w:r w:rsidR="009D4360" w:rsidRPr="003248D3">
        <w:rPr>
          <w:lang w:val="en-US"/>
        </w:rPr>
        <w:t>one</w:t>
      </w:r>
      <w:r w:rsidR="002B4AD4">
        <w:rPr>
          <w:lang w:val="en-US"/>
        </w:rPr>
        <w:t xml:space="preserve"> </w:t>
      </w:r>
      <w:r w:rsidR="009D4360" w:rsidRPr="003248D3">
        <w:rPr>
          <w:lang w:val="en-US"/>
        </w:rPr>
        <w:t>or</w:t>
      </w:r>
      <w:r w:rsidR="002B4AD4">
        <w:rPr>
          <w:lang w:val="en-US"/>
        </w:rPr>
        <w:t xml:space="preserve"> </w:t>
      </w:r>
      <w:r w:rsidR="009D4360" w:rsidRPr="003248D3">
        <w:rPr>
          <w:lang w:val="en-US"/>
        </w:rPr>
        <w:t>more</w:t>
      </w:r>
      <w:r w:rsidR="002B4AD4">
        <w:rPr>
          <w:lang w:val="en-US"/>
        </w:rPr>
        <w:t xml:space="preserve"> </w:t>
      </w:r>
      <w:r w:rsidR="009D4360" w:rsidRPr="003248D3">
        <w:rPr>
          <w:lang w:val="en-US"/>
        </w:rPr>
        <w:t>files</w:t>
      </w:r>
      <w:r w:rsidR="009D4360" w:rsidRPr="009D4360">
        <w:rPr>
          <w:lang w:val="en-US"/>
        </w:rPr>
        <w:t>.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files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can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be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any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physical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files.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They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can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be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resource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file,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netmodule,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or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native</w:t>
      </w:r>
      <w:r w:rsidR="002B4AD4">
        <w:rPr>
          <w:lang w:val="en-US"/>
        </w:rPr>
        <w:t xml:space="preserve"> </w:t>
      </w:r>
      <w:r w:rsidR="009D4360" w:rsidRPr="009D4360">
        <w:rPr>
          <w:lang w:val="en-US"/>
        </w:rPr>
        <w:t>dlls.</w:t>
      </w:r>
    </w:p>
    <w:p w:rsidR="009D4360" w:rsidRPr="009D4360" w:rsidRDefault="009D4360" w:rsidP="005915F5">
      <w:pPr>
        <w:jc w:val="both"/>
        <w:rPr>
          <w:lang w:val="en-US"/>
        </w:rPr>
      </w:pP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always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contains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manifest</w:t>
      </w:r>
      <w:r w:rsidRPr="009D4360">
        <w:rPr>
          <w:lang w:val="en-US"/>
        </w:rPr>
        <w:t>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manifest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metadata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contains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definition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identity</w:t>
      </w:r>
      <w:r w:rsidRPr="009D4360">
        <w:rPr>
          <w:lang w:val="en-US"/>
        </w:rPr>
        <w:t>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files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type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reference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information,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referenced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assemblies,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among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other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things.</w:t>
      </w:r>
    </w:p>
    <w:p w:rsidR="009D4360" w:rsidRPr="009D4360" w:rsidRDefault="009D4360" w:rsidP="005915F5">
      <w:pPr>
        <w:jc w:val="both"/>
        <w:rPr>
          <w:lang w:val="en-US"/>
        </w:rPr>
      </w:pPr>
      <w:r w:rsidRPr="009D4360">
        <w:rPr>
          <w:lang w:val="en-US"/>
        </w:rPr>
        <w:t>Netmodule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unit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compilation.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compiler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may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give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the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option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to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compile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collection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of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source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files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into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assembly,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or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netmodule.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Netmodule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contains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type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metadata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and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compiled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code.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It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does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not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contain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assembly</w:t>
      </w:r>
      <w:r w:rsidR="002B4AD4">
        <w:rPr>
          <w:lang w:val="en-US"/>
        </w:rPr>
        <w:t xml:space="preserve"> </w:t>
      </w:r>
      <w:r w:rsidRPr="009D4360">
        <w:rPr>
          <w:lang w:val="en-US"/>
        </w:rPr>
        <w:t>manifest.</w:t>
      </w:r>
    </w:p>
    <w:p w:rsidR="009D4360" w:rsidRDefault="009D4360" w:rsidP="005915F5">
      <w:pPr>
        <w:jc w:val="both"/>
        <w:rPr>
          <w:lang w:val="en-US"/>
        </w:rPr>
      </w:pPr>
      <w:r w:rsidRPr="003248D3">
        <w:rPr>
          <w:lang w:val="en-US"/>
        </w:rPr>
        <w:t>A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netmodule</w:t>
      </w:r>
      <w:r w:rsidR="002B4AD4">
        <w:rPr>
          <w:lang w:val="en-US"/>
        </w:rPr>
        <w:t xml:space="preserve"> </w:t>
      </w:r>
      <w:r w:rsidR="0057515F" w:rsidRPr="003248D3">
        <w:rPr>
          <w:lang w:val="en-US"/>
        </w:rPr>
        <w:t>cannot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be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deployed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alone.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It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has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to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be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linked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into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an</w:t>
      </w:r>
      <w:r w:rsidR="002B4AD4">
        <w:rPr>
          <w:lang w:val="en-US"/>
        </w:rPr>
        <w:t xml:space="preserve"> </w:t>
      </w:r>
      <w:r w:rsidRPr="003248D3">
        <w:rPr>
          <w:lang w:val="en-US"/>
        </w:rPr>
        <w:t>assembly.</w:t>
      </w:r>
    </w:p>
    <w:p w:rsidR="005915F5" w:rsidRDefault="005915F5" w:rsidP="005915F5">
      <w:pPr>
        <w:jc w:val="both"/>
        <w:rPr>
          <w:lang w:val="en-US"/>
        </w:rPr>
      </w:pPr>
      <w:r>
        <w:rPr>
          <w:lang w:val="en-US"/>
        </w:rPr>
        <w:t>Usually a Syntony assembly / Syntony dll contains one netmodule.</w:t>
      </w:r>
    </w:p>
    <w:p w:rsidR="005915F5" w:rsidRDefault="005915F5" w:rsidP="005915F5">
      <w:pPr>
        <w:jc w:val="both"/>
        <w:rPr>
          <w:lang w:val="en-US"/>
        </w:rPr>
      </w:pPr>
    </w:p>
    <w:p w:rsidR="005915F5" w:rsidRPr="009D4360" w:rsidRDefault="005915F5" w:rsidP="005915F5">
      <w:pPr>
        <w:jc w:val="both"/>
        <w:rPr>
          <w:lang w:val="en-US"/>
        </w:rPr>
      </w:pPr>
      <w:bookmarkStart w:id="0" w:name="_GoBack"/>
      <w:bookmarkEnd w:id="0"/>
    </w:p>
    <w:sectPr w:rsidR="005915F5" w:rsidRPr="009D43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B1D6C"/>
    <w:multiLevelType w:val="hybridMultilevel"/>
    <w:tmpl w:val="C6EA9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072BE"/>
    <w:multiLevelType w:val="hybridMultilevel"/>
    <w:tmpl w:val="7BA298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E2"/>
    <w:rsid w:val="002B4AD4"/>
    <w:rsid w:val="003248D3"/>
    <w:rsid w:val="003A30CC"/>
    <w:rsid w:val="003C1AAB"/>
    <w:rsid w:val="004054B6"/>
    <w:rsid w:val="005119E2"/>
    <w:rsid w:val="0057515F"/>
    <w:rsid w:val="005915F5"/>
    <w:rsid w:val="009D4360"/>
    <w:rsid w:val="00F7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AC2"/>
  <w15:chartTrackingRefBased/>
  <w15:docId w15:val="{53060B9A-05E9-472B-8139-925E250E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D4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4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bsatz-Standardschriftart"/>
    <w:rsid w:val="009D4360"/>
  </w:style>
  <w:style w:type="character" w:styleId="Hervorhebung">
    <w:name w:val="Emphasis"/>
    <w:basedOn w:val="Absatz-Standardschriftart"/>
    <w:uiPriority w:val="20"/>
    <w:qFormat/>
    <w:rsid w:val="009D4360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9D436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C1AAB"/>
    <w:pPr>
      <w:ind w:left="720"/>
      <w:contextualSpacing/>
    </w:pPr>
  </w:style>
  <w:style w:type="table" w:styleId="Tabellenraster">
    <w:name w:val="Table Grid"/>
    <w:basedOn w:val="NormaleTabelle"/>
    <w:uiPriority w:val="39"/>
    <w:rsid w:val="003C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Hahnl</dc:creator>
  <cp:keywords/>
  <dc:description/>
  <cp:lastModifiedBy>Josef Hahnl</cp:lastModifiedBy>
  <cp:revision>6</cp:revision>
  <dcterms:created xsi:type="dcterms:W3CDTF">2016-10-23T15:54:00Z</dcterms:created>
  <dcterms:modified xsi:type="dcterms:W3CDTF">2016-10-23T16:30:00Z</dcterms:modified>
</cp:coreProperties>
</file>