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576C" w14:textId="77777777" w:rsidR="001E3362" w:rsidRDefault="00000000">
      <w:pPr>
        <w:pStyle w:val="Heading1"/>
      </w:pPr>
      <w:bookmarkStart w:id="0" w:name="header"/>
      <w:bookmarkStart w:id="1" w:name="Xe499f06c3e6f7ed8d64827a66160faf231c4a3e"/>
      <w:bookmarkStart w:id="2" w:name="content"/>
      <w:bookmarkEnd w:id="0"/>
      <w:r>
        <w:t>Linking Marvelous Qur’ān concepts to the "SuperStory"</w:t>
      </w:r>
    </w:p>
    <w:p w14:paraId="4955BC46" w14:textId="77777777" w:rsidR="001E3362" w:rsidRDefault="00000000">
      <w:pPr>
        <w:pStyle w:val="Heading2"/>
      </w:pPr>
      <w:bookmarkStart w:id="3" w:name="framing-the-users-superstory-concept"/>
      <w:r>
        <w:t>1 Framing the user’s “SuperStory” concept</w:t>
      </w:r>
    </w:p>
    <w:p w14:paraId="7924B4CC" w14:textId="2D8AE43F" w:rsidR="001E3362" w:rsidRDefault="00000000">
      <w:pPr>
        <w:pStyle w:val="FirstParagraph"/>
      </w:pPr>
      <w:r>
        <w:t xml:space="preserve">The </w:t>
      </w:r>
      <w:proofErr w:type="spellStart"/>
      <w:r>
        <w:rPr>
          <w:b/>
          <w:bCs/>
        </w:rPr>
        <w:t>SuperStory</w:t>
      </w:r>
      <w:proofErr w:type="spellEnd"/>
      <w:r>
        <w:t xml:space="preserve"> is a broad meditation on cybernetics, social control and the </w:t>
      </w:r>
      <w:r w:rsidRPr="000904B1">
        <w:rPr>
          <w:highlight w:val="yellow"/>
        </w:rPr>
        <w:t>power of narrative</w:t>
      </w:r>
      <w:r>
        <w:t>. T</w:t>
      </w:r>
      <w:r w:rsidR="000904B1">
        <w:t>he concealment of the divine origins of language and the craft of supplications using said the purified perspective of language reprogrammed the minds of people, modifying their</w:t>
      </w:r>
      <w:r>
        <w:t xml:space="preserve"> </w:t>
      </w:r>
      <w:r w:rsidR="000904B1">
        <w:t xml:space="preserve">behavior and the structure of societal systems </w:t>
      </w:r>
      <w:r>
        <w:t>through</w:t>
      </w:r>
      <w:r w:rsidR="000904B1">
        <w:t xml:space="preserve"> the justifications that elevated interpreters of knowledge made up for their rejection of reality. The People of Knowledge, as many called them throughout the Islamic history, have made up s</w:t>
      </w:r>
      <w:r w:rsidRPr="000904B1">
        <w:t>tories</w:t>
      </w:r>
      <w:r w:rsidR="000904B1" w:rsidRPr="000904B1">
        <w:t xml:space="preserve"> that embellish reality with seemingly defensible metaphors</w:t>
      </w:r>
      <w:r w:rsidR="000904B1">
        <w:t xml:space="preserve"> and erroneous reifications of</w:t>
      </w:r>
      <w:r w:rsidR="00AD6A80">
        <w:t xml:space="preserve"> the </w:t>
      </w:r>
      <w:r w:rsidR="003F280D">
        <w:t>S</w:t>
      </w:r>
      <w:r w:rsidR="00783D10">
        <w:t>ublime</w:t>
      </w:r>
      <w:r w:rsidR="00AD6A80">
        <w:t xml:space="preserve"> Lexicon</w:t>
      </w:r>
      <w:r w:rsidRPr="000904B1">
        <w:t>.</w:t>
      </w:r>
      <w:r>
        <w:t xml:space="preserve"> </w:t>
      </w:r>
      <w:r w:rsidR="009D16A6">
        <w:t>I</w:t>
      </w:r>
      <w:r w:rsidR="003B42EA">
        <w:t xml:space="preserve"> </w:t>
      </w:r>
      <w:r>
        <w:t>hypothesi</w:t>
      </w:r>
      <w:r w:rsidR="009D16A6">
        <w:t xml:space="preserve">zed </w:t>
      </w:r>
      <w:r w:rsidR="005620D7">
        <w:t xml:space="preserve">that and </w:t>
      </w:r>
      <w:r w:rsidR="000C503B">
        <w:t>received</w:t>
      </w:r>
      <w:r w:rsidR="005620D7">
        <w:t xml:space="preserve"> evidence</w:t>
      </w:r>
      <w:r w:rsidR="009D16A6">
        <w:t xml:space="preserve"> </w:t>
      </w:r>
      <w:r w:rsidR="005620D7">
        <w:t>that</w:t>
      </w:r>
      <w:r w:rsidR="009C5724">
        <w:t xml:space="preserve"> </w:t>
      </w:r>
      <w:r w:rsidR="009D16A6">
        <w:t>scholars</w:t>
      </w:r>
      <w:r>
        <w:t xml:space="preserve"> have </w:t>
      </w:r>
      <w:r w:rsidR="009D16A6">
        <w:t>subverted</w:t>
      </w:r>
      <w:r w:rsidR="009C5724">
        <w:t xml:space="preserve"> the</w:t>
      </w:r>
      <w:r w:rsidR="009D16A6">
        <w:t xml:space="preserve"> </w:t>
      </w:r>
      <w:r w:rsidR="00993EF6">
        <w:t>power</w:t>
      </w:r>
      <w:r w:rsidR="009D16A6">
        <w:t xml:space="preserve"> of the divine lexicon to develop a science or art for </w:t>
      </w:r>
      <w:r w:rsidR="00131AD5">
        <w:t>creation of Separated Worlds</w:t>
      </w:r>
      <w:r w:rsidR="00131AD5">
        <w:rPr>
          <w:rStyle w:val="FootnoteReference"/>
        </w:rPr>
        <w:footnoteReference w:id="1"/>
      </w:r>
      <w:r w:rsidR="00131AD5">
        <w:t>, so to speak,</w:t>
      </w:r>
      <w:r w:rsidR="009D16A6">
        <w:t xml:space="preserve"> reality against the will of Allah</w:t>
      </w:r>
      <w:r>
        <w:t xml:space="preserve"> and that this science uses </w:t>
      </w:r>
      <w:r>
        <w:rPr>
          <w:b/>
          <w:bCs/>
        </w:rPr>
        <w:t>language</w:t>
      </w:r>
      <w:r>
        <w:t xml:space="preserve"> and </w:t>
      </w:r>
      <w:r>
        <w:rPr>
          <w:b/>
          <w:bCs/>
        </w:rPr>
        <w:t>story</w:t>
      </w:r>
      <w:r>
        <w:t xml:space="preserve"> as its tools. </w:t>
      </w:r>
      <w:r w:rsidR="009D16A6">
        <w:t>I</w:t>
      </w:r>
      <w:r>
        <w:t xml:space="preserve"> therefore posit that:</w:t>
      </w:r>
    </w:p>
    <w:p w14:paraId="1039017B" w14:textId="77777777" w:rsidR="001E3362" w:rsidRDefault="00000000">
      <w:pPr>
        <w:numPr>
          <w:ilvl w:val="0"/>
          <w:numId w:val="2"/>
        </w:numPr>
      </w:pPr>
      <w:r>
        <w:t xml:space="preserve">Control is exercised by </w:t>
      </w:r>
      <w:r>
        <w:rPr>
          <w:b/>
          <w:bCs/>
        </w:rPr>
        <w:t>instilling identities through stories</w:t>
      </w:r>
      <w:r>
        <w:t xml:space="preserve"> – the media shows characters reacting to certain stimuli; when viewers encounter similar situations the story‑bound identity in their subconscious triggers a corresponding behaviour. This is a form of </w:t>
      </w:r>
      <w:r>
        <w:rPr>
          <w:b/>
          <w:bCs/>
        </w:rPr>
        <w:t>programming</w:t>
      </w:r>
      <w:r>
        <w:t xml:space="preserve"> linking situations to behavioural responses.</w:t>
      </w:r>
    </w:p>
    <w:p w14:paraId="75FA7976" w14:textId="77777777" w:rsidR="001E3362" w:rsidRDefault="00000000">
      <w:pPr>
        <w:numPr>
          <w:ilvl w:val="0"/>
          <w:numId w:val="2"/>
        </w:numPr>
      </w:pPr>
      <w:r>
        <w:t xml:space="preserve">A story acts like a </w:t>
      </w:r>
      <w:r>
        <w:rPr>
          <w:b/>
          <w:bCs/>
        </w:rPr>
        <w:t>crystallised blueprint</w:t>
      </w:r>
      <w:r>
        <w:t xml:space="preserve"> of reality. To influence reality one needs a discipline that can extract stories from the universe, write them into language and then reverse the process to </w:t>
      </w:r>
      <w:r>
        <w:rPr>
          <w:b/>
          <w:bCs/>
        </w:rPr>
        <w:t>implement the story back into reality</w:t>
      </w:r>
      <w:r>
        <w:t>. Such a discipline would allow a society to measure how far it is from its ideal state (homeostasis) and to correct itself.</w:t>
      </w:r>
    </w:p>
    <w:p w14:paraId="2512A366" w14:textId="77777777" w:rsidR="001E3362" w:rsidRDefault="00000000">
      <w:pPr>
        <w:numPr>
          <w:ilvl w:val="0"/>
          <w:numId w:val="2"/>
        </w:numPr>
      </w:pPr>
      <w:r>
        <w:t xml:space="preserve">He believes the </w:t>
      </w:r>
      <w:r>
        <w:rPr>
          <w:b/>
          <w:bCs/>
        </w:rPr>
        <w:t>Qur’ān</w:t>
      </w:r>
      <w:r>
        <w:t xml:space="preserve"> contains such a blueprint. He sees the scripture as more than religious teachings; it is a </w:t>
      </w:r>
      <w:r>
        <w:rPr>
          <w:b/>
          <w:bCs/>
        </w:rPr>
        <w:t>program</w:t>
      </w:r>
      <w:r>
        <w:t xml:space="preserve"> that associates specific situations with reactions, guiding communities toward desirable outcomes. To use it, however, Muslims must abandon ossified interpretations and engage the text directly.</w:t>
      </w:r>
    </w:p>
    <w:p w14:paraId="57133986" w14:textId="77777777" w:rsidR="001E3362" w:rsidRDefault="00000000">
      <w:pPr>
        <w:pStyle w:val="FirstParagraph"/>
      </w:pPr>
      <w:r>
        <w:t xml:space="preserve">The question then becomes: </w:t>
      </w:r>
      <w:r>
        <w:rPr>
          <w:b/>
          <w:bCs/>
        </w:rPr>
        <w:t>which concepts from Dr Hany Atchan’s Marvelous Qur’ān project support this SuperStory framework?</w:t>
      </w:r>
      <w:r>
        <w:t xml:space="preserve"> The research below draws on publicly accessible material from the Marvelous Qur’ān website, discussions on the Marvelous Qur’ān forum and unlisted MQ Live recordings shared via the user’s Gmail feed.</w:t>
      </w:r>
    </w:p>
    <w:p w14:paraId="1792AFBC" w14:textId="77777777" w:rsidR="001E3362" w:rsidRDefault="00000000">
      <w:pPr>
        <w:pStyle w:val="Heading2"/>
      </w:pPr>
      <w:bookmarkStart w:id="4" w:name="X7418cbcd6d083ee31313e156db157e56fa3375b"/>
      <w:bookmarkEnd w:id="3"/>
      <w:r>
        <w:lastRenderedPageBreak/>
        <w:t>2 Marvelous Qur’ān: a different view of scripture</w:t>
      </w:r>
    </w:p>
    <w:p w14:paraId="716C81E8" w14:textId="77777777" w:rsidR="001E3362" w:rsidRDefault="00000000">
      <w:pPr>
        <w:pStyle w:val="Heading3"/>
      </w:pPr>
      <w:bookmarkStart w:id="5" w:name="the-qurān-as-a-communication-instrument"/>
      <w:r>
        <w:t xml:space="preserve">2.1 The Qur’ān as a </w:t>
      </w:r>
      <w:r>
        <w:rPr>
          <w:i/>
          <w:iCs/>
        </w:rPr>
        <w:t>communication instrument</w:t>
      </w:r>
    </w:p>
    <w:p w14:paraId="6AC08D7A" w14:textId="77777777" w:rsidR="001E3362" w:rsidRDefault="00000000">
      <w:pPr>
        <w:pStyle w:val="FirstParagraph"/>
      </w:pPr>
      <w:r>
        <w:t xml:space="preserve">On the Marvelous Qur’ān website, Dr Hany insists that the Qur’ān is </w:t>
      </w:r>
      <w:r>
        <w:rPr>
          <w:b/>
          <w:bCs/>
        </w:rPr>
        <w:t>not</w:t>
      </w:r>
      <w:r>
        <w:t xml:space="preserve"> merely literature. He calls it a </w:t>
      </w:r>
      <w:r>
        <w:rPr>
          <w:b/>
          <w:bCs/>
        </w:rPr>
        <w:t>communication instrument</w:t>
      </w:r>
      <w:r>
        <w:t>: “knowledge comes to you live, directly from its creator, Allahh”</w:t>
      </w:r>
      <w:hyperlink r:id="rId7" w:anchor=":~:text=o%20%C2%A0%20If%20the%20Qur%EA%9C%A4a%CC%84n,knowledge%20is%20contained%20within%20it">
        <w:r>
          <w:rPr>
            <w:rStyle w:val="Hyperlink"/>
          </w:rPr>
          <w:t>[1]</w:t>
        </w:r>
      </w:hyperlink>
      <w:r>
        <w:t>. Because it is an instrument rather than a static text, understanding cannot be derived solely from its composition; no one should claim to possess an exhaustive exegesis</w:t>
      </w:r>
      <w:hyperlink r:id="rId8" w:anchor=":~:text=o%20%C2%A0%20If%20the%20Qur%EA%9C%A4a%CC%84n,knowledge%20is%20contained%20within%20it">
        <w:r>
          <w:rPr>
            <w:rStyle w:val="Hyperlink"/>
          </w:rPr>
          <w:t>[1]</w:t>
        </w:r>
      </w:hyperlink>
      <w:r>
        <w:t>. This idea resonates strongly with the SuperStory concept—the story is not a fixed sequence of events but a living medium through which the divine communicates guidance. The instrument only yields guidance when engaged correctly.</w:t>
      </w:r>
    </w:p>
    <w:p w14:paraId="7800663F" w14:textId="77777777" w:rsidR="001E3362" w:rsidRDefault="00000000">
      <w:pPr>
        <w:pStyle w:val="Heading3"/>
      </w:pPr>
      <w:bookmarkStart w:id="6" w:name="X4917406130f66eb5914b4773aed23cd0477c221"/>
      <w:bookmarkEnd w:id="5"/>
      <w:r>
        <w:t xml:space="preserve">2.2 An </w:t>
      </w:r>
      <w:r>
        <w:rPr>
          <w:i/>
          <w:iCs/>
        </w:rPr>
        <w:t>organic Qur’ānic methodology</w:t>
      </w:r>
      <w:r>
        <w:t xml:space="preserve"> (As‑Ṣirāṭ al‑Mustaqīm)</w:t>
      </w:r>
    </w:p>
    <w:p w14:paraId="425F726D" w14:textId="77777777" w:rsidR="001E3362" w:rsidRDefault="00000000">
      <w:pPr>
        <w:pStyle w:val="FirstParagraph"/>
      </w:pPr>
      <w:r>
        <w:t xml:space="preserve">Dr Hany notes that classical scholars mis‑identified the Qur’ān and therefore made several mistakes: they ignored that the unique text “contains its own </w:t>
      </w:r>
      <w:r>
        <w:rPr>
          <w:b/>
          <w:bCs/>
        </w:rPr>
        <w:t>organic Qur’ānic methodology</w:t>
      </w:r>
      <w:r>
        <w:t xml:space="preserve"> for engaging it”</w:t>
      </w:r>
      <w:hyperlink r:id="rId9" w:anchor=":~:text=1,correction">
        <w:r>
          <w:rPr>
            <w:rStyle w:val="Hyperlink"/>
          </w:rPr>
          <w:t>[2]</w:t>
        </w:r>
      </w:hyperlink>
      <w:r>
        <w:t xml:space="preserve">. This methodology is labelled </w:t>
      </w:r>
      <w:r>
        <w:rPr>
          <w:b/>
          <w:bCs/>
        </w:rPr>
        <w:t>As‑Ṣirāṭ al‑Mustaqīm</w:t>
      </w:r>
      <w:r>
        <w:t xml:space="preserve">—“the methodology for </w:t>
      </w:r>
      <w:r>
        <w:rPr>
          <w:b/>
          <w:bCs/>
        </w:rPr>
        <w:t>self‑correction</w:t>
      </w:r>
      <w:r>
        <w:t>”</w:t>
      </w:r>
      <w:hyperlink r:id="rId10" w:anchor=":~:text=1,correction">
        <w:r>
          <w:rPr>
            <w:rStyle w:val="Hyperlink"/>
          </w:rPr>
          <w:t>[2]</w:t>
        </w:r>
      </w:hyperlink>
      <w:r>
        <w:t>. Rather than reading the Qur’ān through Arabic poetry, pre‑Islamic stories or transmitted narrations, the methodology teaches the reader to let the scripture interpret itself</w:t>
      </w:r>
      <w:hyperlink r:id="rId11" w:anchor=":~:text=3,clearly%20prohibits%20us%20from%20doing">
        <w:r>
          <w:rPr>
            <w:rStyle w:val="Hyperlink"/>
          </w:rPr>
          <w:t>[3]</w:t>
        </w:r>
      </w:hyperlink>
      <w:r>
        <w:t>. Through this process the Qur’ān becomes a dynamic self‑correcting system in which the reader constantly tests his understanding and adjusts behaviour. The SuperStory calls for exactly such a discipline: a way of extracting stories from the universe into a formal text and then using that text to adjust the system until homeostasis is achieved. Dr Hany’s organic methodology—derived solely from the Qur’ān and designed for self‑correction—provides a concrete example of that discipline.</w:t>
      </w:r>
    </w:p>
    <w:p w14:paraId="62B59D08" w14:textId="77777777" w:rsidR="001E3362" w:rsidRDefault="00000000">
      <w:pPr>
        <w:pStyle w:val="Heading3"/>
      </w:pPr>
      <w:bookmarkStart w:id="7" w:name="X086671a8b6826f747f4f7b52b5bbee72284f214"/>
      <w:bookmarkEnd w:id="6"/>
      <w:r>
        <w:t xml:space="preserve">2.3 Dhikr: the centrality of </w:t>
      </w:r>
      <w:r>
        <w:rPr>
          <w:b/>
          <w:bCs/>
        </w:rPr>
        <w:t>stories and parables</w:t>
      </w:r>
    </w:p>
    <w:p w14:paraId="6C562926" w14:textId="77777777" w:rsidR="001E3362" w:rsidRDefault="00000000">
      <w:pPr>
        <w:pStyle w:val="FirstParagraph"/>
      </w:pPr>
      <w:r>
        <w:t xml:space="preserve">A key pillar of Marvelous Qur’ān’s approach is a renewed emphasis on </w:t>
      </w:r>
      <w:r>
        <w:rPr>
          <w:b/>
          <w:bCs/>
        </w:rPr>
        <w:t>Dhikr</w:t>
      </w:r>
      <w:r>
        <w:t xml:space="preserve">, the Qur’ānic term for </w:t>
      </w:r>
      <w:r>
        <w:rPr>
          <w:b/>
          <w:bCs/>
        </w:rPr>
        <w:t>stories and parables</w:t>
      </w:r>
      <w:r>
        <w:t xml:space="preserve">. Dr Hany argues that earlier exegetes failed to appreciate “the central importance of </w:t>
      </w:r>
      <w:r>
        <w:rPr>
          <w:b/>
          <w:bCs/>
        </w:rPr>
        <w:t>Dhikr (Qur’ānic stories and parables)</w:t>
      </w:r>
      <w:r>
        <w:t>; something the Qur’ān clearly stresses in dozens of verses”</w:t>
      </w:r>
      <w:hyperlink r:id="rId12" w:anchor=":~:text=1,correction">
        <w:r>
          <w:rPr>
            <w:rStyle w:val="Hyperlink"/>
          </w:rPr>
          <w:t>[2]</w:t>
        </w:r>
      </w:hyperlink>
      <w:r>
        <w:t>. He admonishes interpreters for borrowing stories from the Torah or Injeel, because the Qur’ān prohibits that</w:t>
      </w:r>
      <w:hyperlink r:id="rId13" w:anchor=":~:text=3,clearly%20prohibits%20us%20from%20doing">
        <w:r>
          <w:rPr>
            <w:rStyle w:val="Hyperlink"/>
          </w:rPr>
          <w:t>[3]</w:t>
        </w:r>
      </w:hyperlink>
      <w:r>
        <w:t xml:space="preserve">. In the SuperStory context, Dhikr aligns with the idea that behavioural programming is done through compelling narratives. Dr Hany’s insistence that the Qur’ān’s own stories are sufficient and self‑referential supports the notion that the “software” in the Qur’ān associates </w:t>
      </w:r>
      <w:r>
        <w:rPr>
          <w:b/>
          <w:bCs/>
        </w:rPr>
        <w:t>specific situations with appropriate responses</w:t>
      </w:r>
      <w:r>
        <w:t>, without needing external legends.</w:t>
      </w:r>
    </w:p>
    <w:p w14:paraId="40759090" w14:textId="77777777" w:rsidR="001E3362" w:rsidRDefault="00000000">
      <w:pPr>
        <w:pStyle w:val="Heading3"/>
      </w:pPr>
      <w:bookmarkStart w:id="8" w:name="Xb4f8f61af57cc795eef01d37a91dd23ae33b65b"/>
      <w:bookmarkEnd w:id="7"/>
      <w:r>
        <w:t xml:space="preserve">2.4 Abrahamic locution and </w:t>
      </w:r>
      <w:r>
        <w:rPr>
          <w:b/>
          <w:bCs/>
        </w:rPr>
        <w:t>compositional units</w:t>
      </w:r>
    </w:p>
    <w:p w14:paraId="7937C498" w14:textId="77777777" w:rsidR="001E3362" w:rsidRDefault="00000000">
      <w:pPr>
        <w:pStyle w:val="FirstParagraph"/>
      </w:pPr>
      <w:r>
        <w:t xml:space="preserve">An important innovation in Marvelous Qur’ān research is the concept of </w:t>
      </w:r>
      <w:r>
        <w:rPr>
          <w:b/>
          <w:bCs/>
        </w:rPr>
        <w:t>Abrahamic locution</w:t>
      </w:r>
      <w:r>
        <w:t xml:space="preserve">. Dr Hany argues that Qur’ānic words often belong to a special locution used by Abraham and his descendants, and thus cannot be interpreted solely by Arabic poetry or later dictionaries. Forum posts illustrate how Abrahamic locution reshapes understanding of verses. For example, a discussion on </w:t>
      </w:r>
      <w:r>
        <w:rPr>
          <w:b/>
          <w:bCs/>
        </w:rPr>
        <w:t>sahāb</w:t>
      </w:r>
      <w:r>
        <w:t xml:space="preserve"> (clouds) mentions Dr Hany’s translation of Q 24:43, where Allah “drives the ‘clouds’ … commingles them … </w:t>
      </w:r>
      <w:r>
        <w:lastRenderedPageBreak/>
        <w:t xml:space="preserve">remands them into a heap” and then “makes accessible </w:t>
      </w:r>
      <w:r>
        <w:rPr>
          <w:b/>
          <w:bCs/>
        </w:rPr>
        <w:t>from the abstract understanding – from</w:t>
      </w:r>
      <w:r>
        <w:t xml:space="preserve"> compositional units </w:t>
      </w:r>
      <w:r>
        <w:rPr>
          <w:b/>
          <w:bCs/>
        </w:rPr>
        <w:t>in accordance with it – some messages”</w:t>
      </w:r>
      <w:hyperlink r:id="rId14" w:anchor=":~:text=YT187%20Extra,Beyond%20Death">
        <w:r>
          <w:rPr>
            <w:rStyle w:val="Hyperlink"/>
            <w:b/>
            <w:bCs/>
          </w:rPr>
          <w:t>[4]</w:t>
        </w:r>
      </w:hyperlink>
      <w:r>
        <w:rPr>
          <w:b/>
          <w:bCs/>
        </w:rPr>
        <w:t>. Here “clouds” are not meteorological; they represent</w:t>
      </w:r>
      <w:r>
        <w:t xml:space="preserve"> compositional units </w:t>
      </w:r>
      <w:r>
        <w:rPr>
          <w:b/>
          <w:bCs/>
        </w:rPr>
        <w:t>of knowledge that are gathered and combined to deliver guidance</w:t>
      </w:r>
      <w:hyperlink r:id="rId15" w:anchor=":~:text=Have%20you%20not%20pondered%20that,pulling%20him%20into%20further">
        <w:r>
          <w:rPr>
            <w:rStyle w:val="Hyperlink"/>
            <w:b/>
            <w:bCs/>
          </w:rPr>
          <w:t>[5]</w:t>
        </w:r>
      </w:hyperlink>
      <w:r>
        <w:rPr>
          <w:b/>
          <w:bCs/>
        </w:rPr>
        <w:t>. This metaphor mirrors the SuperStory’s idea that reality can be distilled into</w:t>
      </w:r>
      <w:r>
        <w:t xml:space="preserve"> story units**, combined into a coherent program and then converted back into guidance for action.</w:t>
      </w:r>
    </w:p>
    <w:p w14:paraId="6B7DE4B7" w14:textId="77777777" w:rsidR="001E3362" w:rsidRDefault="00000000">
      <w:pPr>
        <w:pStyle w:val="Heading3"/>
      </w:pPr>
      <w:bookmarkStart w:id="9" w:name="samāwāt-arḍ-and-the-mental-tree"/>
      <w:bookmarkEnd w:id="8"/>
      <w:r>
        <w:t xml:space="preserve">2.5 Samāwāt / Arḍ and the </w:t>
      </w:r>
      <w:r>
        <w:rPr>
          <w:b/>
          <w:bCs/>
        </w:rPr>
        <w:t>mental tree</w:t>
      </w:r>
    </w:p>
    <w:p w14:paraId="57BC3717" w14:textId="77777777" w:rsidR="001E3362" w:rsidRDefault="00000000">
      <w:pPr>
        <w:pStyle w:val="FirstParagraph"/>
      </w:pPr>
      <w:r>
        <w:t xml:space="preserve">Another set of forum exchanges discusses the Qur’ānic pair </w:t>
      </w:r>
      <w:r>
        <w:rPr>
          <w:b/>
          <w:bCs/>
        </w:rPr>
        <w:t>samāwāt</w:t>
      </w:r>
      <w:r>
        <w:t xml:space="preserve"> and </w:t>
      </w:r>
      <w:r>
        <w:rPr>
          <w:b/>
          <w:bCs/>
        </w:rPr>
        <w:t>arḍ</w:t>
      </w:r>
      <w:r>
        <w:t xml:space="preserve">. A participant interprets </w:t>
      </w:r>
      <w:r>
        <w:rPr>
          <w:b/>
          <w:bCs/>
        </w:rPr>
        <w:t>as‑samāwāt</w:t>
      </w:r>
      <w:r>
        <w:t xml:space="preserve"> as the </w:t>
      </w:r>
      <w:r>
        <w:rPr>
          <w:b/>
          <w:bCs/>
        </w:rPr>
        <w:t>higher consciousness</w:t>
      </w:r>
      <w:r>
        <w:t xml:space="preserve"> from which we receive guidance, whereas </w:t>
      </w:r>
      <w:r>
        <w:rPr>
          <w:b/>
          <w:bCs/>
        </w:rPr>
        <w:t>al‑arḍ</w:t>
      </w:r>
      <w:r>
        <w:t xml:space="preserve"> is the </w:t>
      </w:r>
      <w:r>
        <w:rPr>
          <w:b/>
          <w:bCs/>
        </w:rPr>
        <w:t>lower consciousness</w:t>
      </w:r>
      <w:r>
        <w:t xml:space="preserve"> or stage where various “actors (thoughts &amp; senses) perform to keep the show alive”</w:t>
      </w:r>
      <w:hyperlink r:id="rId16">
        <w:r>
          <w:rPr>
            <w:rStyle w:val="Hyperlink"/>
          </w:rPr>
          <w:t>[6]</w:t>
        </w:r>
      </w:hyperlink>
      <w:r>
        <w:t xml:space="preserve">. He emphasises that the Qur’ān’s theme is human psychology; terms such as </w:t>
      </w:r>
      <w:r>
        <w:rPr>
          <w:i/>
          <w:iCs/>
        </w:rPr>
        <w:t>Allah, malaikah, shayṭān, rasūl,</w:t>
      </w:r>
      <w:r>
        <w:t xml:space="preserve"> and </w:t>
      </w:r>
      <w:r>
        <w:rPr>
          <w:i/>
          <w:iCs/>
        </w:rPr>
        <w:t>nafs</w:t>
      </w:r>
      <w:r>
        <w:t xml:space="preserve"> refer to </w:t>
      </w:r>
      <w:r>
        <w:rPr>
          <w:b/>
          <w:bCs/>
        </w:rPr>
        <w:t>internal aspects of consciousness</w:t>
      </w:r>
      <w:r>
        <w:t>, not external mythologies</w:t>
      </w:r>
      <w:hyperlink r:id="rId17" w:anchor=":~:text=Quran%20is%20Human%20psychology%20or,We">
        <w:r>
          <w:rPr>
            <w:rStyle w:val="Hyperlink"/>
          </w:rPr>
          <w:t>[7]</w:t>
        </w:r>
      </w:hyperlink>
      <w:r>
        <w:t xml:space="preserve">. Another commentator adds that </w:t>
      </w:r>
      <w:r>
        <w:rPr>
          <w:b/>
          <w:bCs/>
        </w:rPr>
        <w:t>al‑arḍ</w:t>
      </w:r>
      <w:r>
        <w:t xml:space="preserve"> is related to the mind’s ability to form and use language; the </w:t>
      </w:r>
      <w:r>
        <w:rPr>
          <w:i/>
          <w:iCs/>
        </w:rPr>
        <w:t>mental trees</w:t>
      </w:r>
      <w:r>
        <w:t>—prophetic stories and mature concepts—grow in the mind, not on paper</w:t>
      </w:r>
      <w:hyperlink r:id="rId18" w:anchor=":~:text=So%20the%20mental%20trees%20like,such%20as%20the%20Wahiyy">
        <w:r>
          <w:rPr>
            <w:rStyle w:val="Hyperlink"/>
          </w:rPr>
          <w:t>[8]</w:t>
        </w:r>
      </w:hyperlink>
      <w:r>
        <w:t xml:space="preserve">. This mentalistic approach corresponds closely with the SuperStory’s notion of converting between story and reality. The Qur’ān’s stories serve as mental scripts; when the mind encounters similar situations these scripts are activated, guiding behaviour. The </w:t>
      </w:r>
      <w:r>
        <w:rPr>
          <w:b/>
          <w:bCs/>
        </w:rPr>
        <w:t>mental tree</w:t>
      </w:r>
      <w:r>
        <w:t xml:space="preserve"> concept also parallels the SuperStory’s idea of a crystallised version of reality—a blueprint containing “good” situations and the actions that lead to them.</w:t>
      </w:r>
    </w:p>
    <w:p w14:paraId="6A9A5BDF" w14:textId="77777777" w:rsidR="001E3362" w:rsidRDefault="00000000">
      <w:pPr>
        <w:pStyle w:val="Heading3"/>
      </w:pPr>
      <w:bookmarkStart w:id="10" w:name="Xe232270c12aca6e458308531d05b85532d6ab3f"/>
      <w:bookmarkEnd w:id="9"/>
      <w:r>
        <w:t xml:space="preserve">2.6 MQ Live sessions on </w:t>
      </w:r>
      <w:r>
        <w:rPr>
          <w:i/>
          <w:iCs/>
        </w:rPr>
        <w:t>NCUs, ALUs and multi‑dimensions</w:t>
      </w:r>
    </w:p>
    <w:p w14:paraId="3EC37724" w14:textId="192ED309" w:rsidR="001E3362" w:rsidRDefault="00000000">
      <w:pPr>
        <w:pStyle w:val="FirstParagraph"/>
      </w:pPr>
      <w:r>
        <w:t xml:space="preserve">The user’s Gmail provided links to </w:t>
      </w:r>
      <w:r>
        <w:rPr>
          <w:b/>
          <w:bCs/>
        </w:rPr>
        <w:t>unlisted MQ Live</w:t>
      </w:r>
      <w:r>
        <w:t xml:space="preserve"> videos. One recording (27 July 2025) is titled </w:t>
      </w:r>
      <w:r>
        <w:rPr>
          <w:b/>
          <w:bCs/>
        </w:rPr>
        <w:t>“Q &amp; A on NCUs, ALUs, Multi‑dimensions, The Telepathy Tapes – Part 3.”</w:t>
      </w:r>
      <w:r>
        <w:t xml:space="preserve"> The video description stresses that it is </w:t>
      </w:r>
      <w:r>
        <w:rPr>
          <w:b/>
          <w:bCs/>
        </w:rPr>
        <w:t>private, confidential and unlisted</w:t>
      </w:r>
      <w:r>
        <w:t>. The transcript (auto‑generated by YouTube) opens with Dr Hany encouraging viewers to remain optimistic and to focus on the “big picture” rather than distractions</w:t>
      </w:r>
      <w:hyperlink r:id="rId19">
        <w:r>
          <w:rPr>
            <w:rStyle w:val="Hyperlink"/>
          </w:rPr>
          <w:t>[9]</w:t>
        </w:r>
      </w:hyperlink>
      <w:r>
        <w:t>. Although a full two‑hour transcript was not analysed, the title and early comments suggest that Dr Hany is using computer‑engineering metaphors—</w:t>
      </w:r>
      <w:r>
        <w:rPr>
          <w:b/>
          <w:bCs/>
        </w:rPr>
        <w:t xml:space="preserve">NCUs </w:t>
      </w:r>
      <w:r>
        <w:t xml:space="preserve">and </w:t>
      </w:r>
      <w:r>
        <w:rPr>
          <w:b/>
          <w:bCs/>
        </w:rPr>
        <w:t>ALUs</w:t>
      </w:r>
      <w:r w:rsidR="00624FBB">
        <w:rPr>
          <w:b/>
          <w:bCs/>
        </w:rPr>
        <w:t xml:space="preserve"> to </w:t>
      </w:r>
      <w:r>
        <w:t xml:space="preserve">explain how the Qur’ān processes information and how human cognition interacts with divine guidance. Later in the thread, participants link MQ Live sessions to topics such as </w:t>
      </w:r>
      <w:r>
        <w:rPr>
          <w:b/>
          <w:bCs/>
        </w:rPr>
        <w:t>Flatland</w:t>
      </w:r>
      <w:r>
        <w:t xml:space="preserve"> (a metaphor for limited dimensions), changes in laws, and the concept of seeds growing only when the soil is prepared</w:t>
      </w:r>
      <w:hyperlink r:id="rId20">
        <w:r>
          <w:rPr>
            <w:rStyle w:val="Hyperlink"/>
          </w:rPr>
          <w:t>[10]</w:t>
        </w:r>
      </w:hyperlink>
      <w:r>
        <w:t>. These sessions thus explore multi‑dimensional thinking, mental “units” of computation and telepathic communication—ideas that map naturally onto the cybernetic and systemic themes of the SuperStory.</w:t>
      </w:r>
    </w:p>
    <w:p w14:paraId="6BBE86F4" w14:textId="77777777" w:rsidR="001E3362" w:rsidRDefault="00000000">
      <w:pPr>
        <w:pStyle w:val="Heading2"/>
      </w:pPr>
      <w:bookmarkStart w:id="11" w:name="X81876627919331a6a6deb687c82948fb9769cd5"/>
      <w:bookmarkEnd w:id="4"/>
      <w:bookmarkEnd w:id="10"/>
      <w:r>
        <w:t>3 Analysis: relating Marvelous Qur’ān concepts to the SuperStory</w:t>
      </w:r>
    </w:p>
    <w:p w14:paraId="074C278B" w14:textId="77777777" w:rsidR="001E3362" w:rsidRDefault="00000000">
      <w:pPr>
        <w:pStyle w:val="Heading3"/>
      </w:pPr>
      <w:bookmarkStart w:id="12" w:name="Xcd216050ac4605e50f6012c309a1ed6b04a0453"/>
      <w:r>
        <w:t xml:space="preserve">3.1 Stories as </w:t>
      </w:r>
      <w:r>
        <w:rPr>
          <w:b/>
          <w:bCs/>
        </w:rPr>
        <w:t>programming</w:t>
      </w:r>
      <w:r>
        <w:t xml:space="preserve"> for social systems</w:t>
      </w:r>
    </w:p>
    <w:p w14:paraId="0F95BE5D" w14:textId="77777777" w:rsidR="001E3362" w:rsidRDefault="00000000">
      <w:pPr>
        <w:pStyle w:val="FirstParagraph"/>
      </w:pPr>
      <w:r>
        <w:t xml:space="preserve">The SuperStory posits that stories embed identities and responses in the subconscious, effectively programming groups. Marvelous Qur’ān confirms this by elevating </w:t>
      </w:r>
      <w:r>
        <w:rPr>
          <w:b/>
          <w:bCs/>
        </w:rPr>
        <w:t>Dhikr (stories and parables)</w:t>
      </w:r>
      <w:r>
        <w:t xml:space="preserve"> to a central role; the Qur’ān itself instructs believers to </w:t>
      </w:r>
      <w:r>
        <w:lastRenderedPageBreak/>
        <w:t>“remember” through stories</w:t>
      </w:r>
      <w:hyperlink r:id="rId21" w:anchor=":~:text=1,correction">
        <w:r>
          <w:rPr>
            <w:rStyle w:val="Hyperlink"/>
          </w:rPr>
          <w:t>[2]</w:t>
        </w:r>
      </w:hyperlink>
      <w:r>
        <w:t>. By insisting that these stories are self‑contained and must not be supplemented by apocryphal tales</w:t>
      </w:r>
      <w:hyperlink r:id="rId22" w:anchor=":~:text=3,clearly%20prohibits%20us%20from%20doing">
        <w:r>
          <w:rPr>
            <w:rStyle w:val="Hyperlink"/>
          </w:rPr>
          <w:t>[3]</w:t>
        </w:r>
      </w:hyperlink>
      <w:r>
        <w:t xml:space="preserve">, Dr Hany affirms that the scriptural story‑program is complete. Moreover, the notion of </w:t>
      </w:r>
      <w:r>
        <w:rPr>
          <w:b/>
          <w:bCs/>
        </w:rPr>
        <w:t>mental trees</w:t>
      </w:r>
      <w:r>
        <w:t>—internal scripts activated by external situations</w:t>
      </w:r>
      <w:hyperlink r:id="rId23" w:anchor=":~:text=So%20the%20mental%20trees%20like,such%20as%20the%20Wahiyy">
        <w:r>
          <w:rPr>
            <w:rStyle w:val="Hyperlink"/>
          </w:rPr>
          <w:t>[8]</w:t>
        </w:r>
      </w:hyperlink>
      <w:r>
        <w:t>—mirrors the SuperStory’s description of characters and identities stored in the subconscious. When believers encounter a similar situation, the Qur’ān’s narrative blueprint triggers the appropriate behavioural response.</w:t>
      </w:r>
    </w:p>
    <w:p w14:paraId="7EB4B878" w14:textId="77777777" w:rsidR="001E3362" w:rsidRDefault="00000000">
      <w:pPr>
        <w:pStyle w:val="Heading3"/>
      </w:pPr>
      <w:bookmarkStart w:id="13" w:name="Xac966bb3a5de16add00d206e849d44b61b74ec6"/>
      <w:bookmarkEnd w:id="12"/>
      <w:r>
        <w:t xml:space="preserve">3.2 A </w:t>
      </w:r>
      <w:r>
        <w:rPr>
          <w:b/>
          <w:bCs/>
        </w:rPr>
        <w:t>discipline</w:t>
      </w:r>
      <w:r>
        <w:t xml:space="preserve"> for extracting and applying the story</w:t>
      </w:r>
    </w:p>
    <w:p w14:paraId="7615C6C1" w14:textId="0673DD75" w:rsidR="001E3362" w:rsidRDefault="00000000">
      <w:pPr>
        <w:pStyle w:val="FirstParagraph"/>
      </w:pPr>
      <w:r>
        <w:t>The</w:t>
      </w:r>
      <w:r w:rsidR="00041A1D">
        <w:t xml:space="preserve"> </w:t>
      </w:r>
      <w:proofErr w:type="spellStart"/>
      <w:r>
        <w:t>SuperStory</w:t>
      </w:r>
      <w:proofErr w:type="spellEnd"/>
      <w:r>
        <w:t xml:space="preserve"> </w:t>
      </w:r>
      <w:proofErr w:type="spellStart"/>
      <w:r>
        <w:t>emphasises</w:t>
      </w:r>
      <w:proofErr w:type="spellEnd"/>
      <w:r>
        <w:t xml:space="preserve"> the need for a discipline that can convert reality into written stories and written stories back into reality. Dr Hany provides such a discipline through his </w:t>
      </w:r>
      <w:r>
        <w:rPr>
          <w:b/>
          <w:bCs/>
        </w:rPr>
        <w:t>organic Qur’ānic methodology</w:t>
      </w:r>
      <w:r>
        <w:t xml:space="preserve">. The methodology, embedded in the Qur’ān itself and called </w:t>
      </w:r>
      <w:r>
        <w:rPr>
          <w:b/>
          <w:bCs/>
        </w:rPr>
        <w:t>As‑Ṣirāṭ al‑Mustaqīm</w:t>
      </w:r>
      <w:hyperlink r:id="rId24" w:anchor=":~:text=1,correction">
        <w:r>
          <w:rPr>
            <w:rStyle w:val="Hyperlink"/>
          </w:rPr>
          <w:t>[2]</w:t>
        </w:r>
      </w:hyperlink>
      <w:r>
        <w:t xml:space="preserve">, is explicitly described as a methodology for </w:t>
      </w:r>
      <w:r>
        <w:rPr>
          <w:b/>
          <w:bCs/>
        </w:rPr>
        <w:t>self‑correction</w:t>
      </w:r>
      <w:r>
        <w:t>. It teaches readers to use the Qur’ān as its own interpreter and to adjust their understanding and behaviour through constant engagement. This is exactly the feedback loop envisaged by the SuperStory: the system (society) measures its state against the Qur’ānic blueprint and corrects course until homeostasis is achieved. The methodology also cautions against relying on outside stories or dogma, ensuring that the blueprint remains pure</w:t>
      </w:r>
      <w:hyperlink r:id="rId25" w:anchor=":~:text=3,clearly%20prohibits%20us%20from%20doing">
        <w:r>
          <w:rPr>
            <w:rStyle w:val="Hyperlink"/>
          </w:rPr>
          <w:t>[3]</w:t>
        </w:r>
      </w:hyperlink>
      <w:r>
        <w:t>.</w:t>
      </w:r>
    </w:p>
    <w:p w14:paraId="3C76E15C" w14:textId="77777777" w:rsidR="001E3362" w:rsidRDefault="00000000">
      <w:pPr>
        <w:pStyle w:val="Heading3"/>
      </w:pPr>
      <w:bookmarkStart w:id="14" w:name="Xe5b9a559c5443d3597288d39753be18f0121b67"/>
      <w:bookmarkEnd w:id="13"/>
      <w:r>
        <w:t xml:space="preserve">3.3 From </w:t>
      </w:r>
      <w:r>
        <w:rPr>
          <w:b/>
          <w:bCs/>
        </w:rPr>
        <w:t>compositional units</w:t>
      </w:r>
      <w:r>
        <w:t xml:space="preserve"> to complex narratives</w:t>
      </w:r>
    </w:p>
    <w:p w14:paraId="37B05B04" w14:textId="77777777" w:rsidR="001E3362" w:rsidRDefault="00000000">
      <w:pPr>
        <w:pStyle w:val="FirstParagraph"/>
      </w:pPr>
      <w:r>
        <w:t>Abrahamic locution illustrates how basic lexical units combine to form complex messages. In the translation of Q 24:43, “clouds” are compositional units that Allah drives together to produce guidance</w:t>
      </w:r>
      <w:hyperlink r:id="rId26" w:anchor=":~:text=Have%20you%20not%20pondered%20that,pulling%20him%20into%20further">
        <w:r>
          <w:rPr>
            <w:rStyle w:val="Hyperlink"/>
          </w:rPr>
          <w:t>[5]</w:t>
        </w:r>
      </w:hyperlink>
      <w:r>
        <w:t xml:space="preserve">. This process of assembling units into a coherent message parallels the SuperStory’s idea of converting discrete narrative elements into a crystallised story and back into reality. Similarly, MQ Live sessions describing </w:t>
      </w:r>
      <w:r>
        <w:rPr>
          <w:b/>
          <w:bCs/>
        </w:rPr>
        <w:t>NCUs</w:t>
      </w:r>
      <w:r>
        <w:t xml:space="preserve"> and </w:t>
      </w:r>
      <w:r>
        <w:rPr>
          <w:b/>
          <w:bCs/>
        </w:rPr>
        <w:t>ALUs</w:t>
      </w:r>
      <w:r>
        <w:t xml:space="preserve"> suggest an architecture in which narrative units (NCUs) and analytic units (ALUs) process information, akin to CPU units in computers. These metaphors show that Dr Hany frames the Qur’ān as a </w:t>
      </w:r>
      <w:r>
        <w:rPr>
          <w:b/>
          <w:bCs/>
        </w:rPr>
        <w:t>computational system</w:t>
      </w:r>
      <w:r>
        <w:t>—a link to the cybernetic perspective adopted by the SuperStory.</w:t>
      </w:r>
    </w:p>
    <w:p w14:paraId="03A08512" w14:textId="77777777" w:rsidR="001E3362" w:rsidRDefault="00000000">
      <w:pPr>
        <w:pStyle w:val="Heading3"/>
      </w:pPr>
      <w:bookmarkStart w:id="15" w:name="Xcf3e3c50388d3a9db463c3de636f7fc9d1c5330"/>
      <w:bookmarkEnd w:id="14"/>
      <w:r>
        <w:t>3.4 Mapping the higher and lower consciousness</w:t>
      </w:r>
    </w:p>
    <w:p w14:paraId="401DA422" w14:textId="77777777" w:rsidR="001E3362" w:rsidRDefault="00000000">
      <w:pPr>
        <w:pStyle w:val="FirstParagraph"/>
      </w:pPr>
      <w:r>
        <w:t xml:space="preserve">The SuperStory describes stories as bridging reality and mental concept; a society needs both a story blueprint and a way to implement it. The </w:t>
      </w:r>
      <w:r>
        <w:rPr>
          <w:b/>
          <w:bCs/>
        </w:rPr>
        <w:t>samāwāt/ arḍ</w:t>
      </w:r>
      <w:r>
        <w:t xml:space="preserve"> model offers a similar duality: </w:t>
      </w:r>
      <w:r>
        <w:rPr>
          <w:i/>
          <w:iCs/>
        </w:rPr>
        <w:t>samāwāt</w:t>
      </w:r>
      <w:r>
        <w:t xml:space="preserve"> represents higher consciousness or the abstract realm from which guidance descends, whereas </w:t>
      </w:r>
      <w:r>
        <w:rPr>
          <w:i/>
          <w:iCs/>
        </w:rPr>
        <w:t>arḍ</w:t>
      </w:r>
      <w:r>
        <w:t xml:space="preserve"> represents the lower consciousness where thoughts and senses act</w:t>
      </w:r>
      <w:hyperlink r:id="rId27">
        <w:r>
          <w:rPr>
            <w:rStyle w:val="Hyperlink"/>
          </w:rPr>
          <w:t>[11]</w:t>
        </w:r>
      </w:hyperlink>
      <w:r>
        <w:t xml:space="preserve">. The </w:t>
      </w:r>
      <w:r>
        <w:rPr>
          <w:b/>
          <w:bCs/>
        </w:rPr>
        <w:t>mental tree</w:t>
      </w:r>
      <w:r>
        <w:t xml:space="preserve"> grows from </w:t>
      </w:r>
      <w:r>
        <w:rPr>
          <w:i/>
          <w:iCs/>
        </w:rPr>
        <w:t>arḍ</w:t>
      </w:r>
      <w:r>
        <w:t xml:space="preserve"> (language and sensory data) to </w:t>
      </w:r>
      <w:r>
        <w:rPr>
          <w:i/>
          <w:iCs/>
        </w:rPr>
        <w:t>samāwāt</w:t>
      </w:r>
      <w:r>
        <w:t xml:space="preserve"> (higher understanding)</w:t>
      </w:r>
      <w:hyperlink r:id="rId28" w:anchor=":~:text=So%20the%20mental%20trees%20like,such%20as%20the%20Wahiyy">
        <w:r>
          <w:rPr>
            <w:rStyle w:val="Hyperlink"/>
          </w:rPr>
          <w:t>[8]</w:t>
        </w:r>
      </w:hyperlink>
      <w:r>
        <w:t>. This model effectively matches the SuperStory’s mechanism of extracting stories from the universe (higher realm) and implementing them in reality (lower realm), emphasising the interplay between narrative blueprint and lived experience.</w:t>
      </w:r>
    </w:p>
    <w:p w14:paraId="4C2E86B7" w14:textId="77777777" w:rsidR="001E3362" w:rsidRDefault="00000000">
      <w:pPr>
        <w:pStyle w:val="Heading3"/>
      </w:pPr>
      <w:bookmarkStart w:id="16" w:name="Xe93d77b955baa270f36e421035674fe0029f469"/>
      <w:bookmarkEnd w:id="15"/>
      <w:r>
        <w:lastRenderedPageBreak/>
        <w:t>3.5 Creating homeostasis through continuous guidance</w:t>
      </w:r>
    </w:p>
    <w:p w14:paraId="2FF2F692" w14:textId="77777777" w:rsidR="001E3362" w:rsidRDefault="00000000">
      <w:pPr>
        <w:pStyle w:val="FirstParagraph"/>
      </w:pPr>
      <w:r>
        <w:t xml:space="preserve">Both the SuperStory and Marvelous Qur’ān emphasise the need for continuous feedback and self‑correction. The SuperStory’s author explains that the system must repeatedly check whether it is closer to the goal state, adjust its internal state and re‑check, thus achieving homeostasis. Dr Hany’s methodology is explicitly designed for </w:t>
      </w:r>
      <w:r>
        <w:rPr>
          <w:b/>
          <w:bCs/>
        </w:rPr>
        <w:t>self‑correction</w:t>
      </w:r>
      <w:hyperlink r:id="rId29" w:anchor=":~:text=1,correction">
        <w:r>
          <w:rPr>
            <w:rStyle w:val="Hyperlink"/>
          </w:rPr>
          <w:t>[2]</w:t>
        </w:r>
      </w:hyperlink>
      <w:r>
        <w:t>. Moreover, his translation of Q 24:43 uses the image of clouds repeatedly driven and combined by Allah to deliver messages</w:t>
      </w:r>
      <w:hyperlink r:id="rId30" w:anchor=":~:text=Have%20you%20not%20pondered%20that,pulling%20him%20into%20further">
        <w:r>
          <w:rPr>
            <w:rStyle w:val="Hyperlink"/>
          </w:rPr>
          <w:t>[5]</w:t>
        </w:r>
      </w:hyperlink>
      <w:r>
        <w:t>, highlighting that guidance is an ongoing process rather than a one‑off revelation.</w:t>
      </w:r>
    </w:p>
    <w:p w14:paraId="16E9FB95" w14:textId="77777777" w:rsidR="001E3362" w:rsidRDefault="00000000">
      <w:pPr>
        <w:pStyle w:val="Heading2"/>
      </w:pPr>
      <w:bookmarkStart w:id="17" w:name="conclusion-and-recommendations"/>
      <w:bookmarkEnd w:id="11"/>
      <w:bookmarkEnd w:id="16"/>
      <w:r>
        <w:t>4 Conclusion and recommendations</w:t>
      </w:r>
    </w:p>
    <w:p w14:paraId="296553FA" w14:textId="77777777" w:rsidR="001E3362" w:rsidRDefault="00000000">
      <w:pPr>
        <w:pStyle w:val="FirstParagraph"/>
      </w:pPr>
      <w:r>
        <w:t xml:space="preserve">The Marvelous Qur’ān project provides multiple conceptual tools that align closely with the </w:t>
      </w:r>
      <w:r>
        <w:rPr>
          <w:b/>
          <w:bCs/>
        </w:rPr>
        <w:t>SuperStory</w:t>
      </w:r>
      <w:r>
        <w:t xml:space="preserve"> concept:</w:t>
      </w:r>
    </w:p>
    <w:p w14:paraId="2F537749" w14:textId="77777777" w:rsidR="001E3362" w:rsidRDefault="00000000">
      <w:pPr>
        <w:numPr>
          <w:ilvl w:val="0"/>
          <w:numId w:val="3"/>
        </w:numPr>
      </w:pPr>
      <w:r>
        <w:rPr>
          <w:b/>
          <w:bCs/>
        </w:rPr>
        <w:t>Living Communication vs. Static Text</w:t>
      </w:r>
      <w:r>
        <w:t xml:space="preserve"> – Dr Hany frames the Qur’ān as a </w:t>
      </w:r>
      <w:r>
        <w:rPr>
          <w:i/>
          <w:iCs/>
        </w:rPr>
        <w:t>communication instrument</w:t>
      </w:r>
      <w:r>
        <w:t xml:space="preserve"> through which knowledge flows dynamically</w:t>
      </w:r>
      <w:hyperlink r:id="rId31" w:anchor=":~:text=o%20%C2%A0%20If%20the%20Qur%EA%9C%A4a%CC%84n,knowledge%20is%20contained%20within%20it">
        <w:r>
          <w:rPr>
            <w:rStyle w:val="Hyperlink"/>
          </w:rPr>
          <w:t>[1]</w:t>
        </w:r>
      </w:hyperlink>
      <w:r>
        <w:t>. This matches the SuperStory view of life as an evolving story rather than fixed equations.</w:t>
      </w:r>
    </w:p>
    <w:p w14:paraId="301400B7" w14:textId="77777777" w:rsidR="001E3362" w:rsidRDefault="00000000">
      <w:pPr>
        <w:numPr>
          <w:ilvl w:val="0"/>
          <w:numId w:val="3"/>
        </w:numPr>
      </w:pPr>
      <w:r>
        <w:rPr>
          <w:b/>
          <w:bCs/>
        </w:rPr>
        <w:t>Organic Methodology for Self‑Correction</w:t>
      </w:r>
      <w:r>
        <w:t> – The Qur’ān contains its own methodology, As‑Ṣirāṭ al‑Mustaqīm, which readers must follow to extract guidance and adjust behaviour</w:t>
      </w:r>
      <w:hyperlink r:id="rId32" w:anchor=":~:text=1,correction">
        <w:r>
          <w:rPr>
            <w:rStyle w:val="Hyperlink"/>
          </w:rPr>
          <w:t>[2]</w:t>
        </w:r>
      </w:hyperlink>
      <w:r>
        <w:t>. This discipline mirrors the SuperStory’s call for a process that converts between narrative blueprint and real‑world action.</w:t>
      </w:r>
    </w:p>
    <w:p w14:paraId="0A6C341E" w14:textId="77777777" w:rsidR="001E3362" w:rsidRDefault="00000000">
      <w:pPr>
        <w:numPr>
          <w:ilvl w:val="0"/>
          <w:numId w:val="3"/>
        </w:numPr>
      </w:pPr>
      <w:r>
        <w:rPr>
          <w:b/>
          <w:bCs/>
        </w:rPr>
        <w:t>Centrality of Stories (Dhikr)</w:t>
      </w:r>
      <w:r>
        <w:t> – Dr Hany highlights that Qur’ānic guidance is primarily delivered through stories and parables</w:t>
      </w:r>
      <w:hyperlink r:id="rId33" w:anchor=":~:text=1,correction">
        <w:r>
          <w:rPr>
            <w:rStyle w:val="Hyperlink"/>
          </w:rPr>
          <w:t>[2]</w:t>
        </w:r>
      </w:hyperlink>
      <w:r>
        <w:t>. These stories program identities and behaviours, just as the SuperStory suggests.</w:t>
      </w:r>
    </w:p>
    <w:p w14:paraId="741808E2" w14:textId="77777777" w:rsidR="001E3362" w:rsidRDefault="00000000">
      <w:pPr>
        <w:numPr>
          <w:ilvl w:val="0"/>
          <w:numId w:val="3"/>
        </w:numPr>
      </w:pPr>
      <w:r>
        <w:rPr>
          <w:b/>
          <w:bCs/>
        </w:rPr>
        <w:t>Mental Trees and Consciousness Layers</w:t>
      </w:r>
      <w:r>
        <w:t> – Discussions on samāwāt/ arḍ reinterpret scriptural terms as layers of consciousness and emphasise that prophetic stories grow as mental trees</w:t>
      </w:r>
      <w:hyperlink r:id="rId34">
        <w:r>
          <w:rPr>
            <w:rStyle w:val="Hyperlink"/>
          </w:rPr>
          <w:t>[6]</w:t>
        </w:r>
      </w:hyperlink>
      <w:hyperlink r:id="rId35" w:anchor=":~:text=So%20the%20mental%20trees%20like,such%20as%20the%20Wahiyy">
        <w:r>
          <w:rPr>
            <w:rStyle w:val="Hyperlink"/>
          </w:rPr>
          <w:t>[8]</w:t>
        </w:r>
      </w:hyperlink>
      <w:r>
        <w:t>. This supports the SuperStory’s assertion that stories are internal scripts activated by external stimuli.</w:t>
      </w:r>
    </w:p>
    <w:p w14:paraId="5919C9D3" w14:textId="77777777" w:rsidR="001E3362" w:rsidRDefault="00000000">
      <w:pPr>
        <w:numPr>
          <w:ilvl w:val="0"/>
          <w:numId w:val="3"/>
        </w:numPr>
      </w:pPr>
      <w:r>
        <w:rPr>
          <w:b/>
          <w:bCs/>
        </w:rPr>
        <w:t>Abrahamic Locution and Compositional Units</w:t>
      </w:r>
      <w:r>
        <w:t> – The idea that words are part of a unique locution and that “clouds” symbolise compositional units that coalesce to deliver messages</w:t>
      </w:r>
      <w:hyperlink r:id="rId36" w:anchor=":~:text=Have%20you%20not%20pondered%20that,pulling%20him%20into%20further">
        <w:r>
          <w:rPr>
            <w:rStyle w:val="Hyperlink"/>
          </w:rPr>
          <w:t>[5]</w:t>
        </w:r>
      </w:hyperlink>
      <w:r>
        <w:t xml:space="preserve"> ties directly to the SuperStory’s concept of assembling narrative units into a program.</w:t>
      </w:r>
    </w:p>
    <w:p w14:paraId="4D608A14" w14:textId="77777777" w:rsidR="001E3362" w:rsidRDefault="00000000">
      <w:pPr>
        <w:numPr>
          <w:ilvl w:val="0"/>
          <w:numId w:val="3"/>
        </w:numPr>
      </w:pPr>
      <w:r>
        <w:rPr>
          <w:b/>
          <w:bCs/>
        </w:rPr>
        <w:t>Cybernetic Analogies in MQ Live</w:t>
      </w:r>
      <w:r>
        <w:t xml:space="preserve"> – Titles and comments from unlisted MQ Live sessions (e.g., Q &amp; A on </w:t>
      </w:r>
      <w:r>
        <w:rPr>
          <w:b/>
          <w:bCs/>
        </w:rPr>
        <w:t>NCUs, ALUs, Multi‑dimensions, The Telepathy Tapes</w:t>
      </w:r>
      <w:r>
        <w:t xml:space="preserve">) employ computer‑engineering metaphors, suggesting that the Qur’ān’s guidance is analysed as a </w:t>
      </w:r>
      <w:r>
        <w:rPr>
          <w:b/>
          <w:bCs/>
        </w:rPr>
        <w:t>computational system</w:t>
      </w:r>
      <w:hyperlink r:id="rId37">
        <w:r>
          <w:rPr>
            <w:rStyle w:val="Hyperlink"/>
          </w:rPr>
          <w:t>[9]</w:t>
        </w:r>
      </w:hyperlink>
      <w:r>
        <w:t>. This resonates with the SuperStory’s cybernetic focus.</w:t>
      </w:r>
    </w:p>
    <w:p w14:paraId="0B9E06B9" w14:textId="77777777" w:rsidR="001E3362" w:rsidRDefault="00000000">
      <w:pPr>
        <w:pStyle w:val="FirstParagraph"/>
      </w:pPr>
      <w:r>
        <w:t xml:space="preserve">Overall, the Marvelous Qur’ān project not only reinforces the SuperStory’s claim that the Qur’ān contains a </w:t>
      </w:r>
      <w:r>
        <w:rPr>
          <w:b/>
          <w:bCs/>
        </w:rPr>
        <w:t>blueprint for social behaviour</w:t>
      </w:r>
      <w:r>
        <w:t xml:space="preserve">, but also offers concrete methodologies and conceptual frameworks—organic methodology, mental trees, Abrahamic locution and </w:t>
      </w:r>
      <w:r>
        <w:lastRenderedPageBreak/>
        <w:t xml:space="preserve">computational analogies—that can be used to extract and implement that blueprint. Adopting these tools could help transform the SuperStory from an intuitive philosophy into a </w:t>
      </w:r>
      <w:r>
        <w:rPr>
          <w:b/>
          <w:bCs/>
        </w:rPr>
        <w:t>disciplined practice of story‑based societal guidance</w:t>
      </w:r>
      <w:r>
        <w:t>.</w:t>
      </w:r>
    </w:p>
    <w:bookmarkEnd w:id="1"/>
    <w:bookmarkEnd w:id="2"/>
    <w:bookmarkEnd w:id="17"/>
    <w:p w14:paraId="4874986F" w14:textId="77777777" w:rsidR="001E3362" w:rsidRDefault="00000000">
      <w:r>
        <w:pict w14:anchorId="6BB838DE">
          <v:rect id="_x0000_i1025" style="width:0;height:1.5pt" o:hralign="center" o:hrstd="t" o:hr="t"/>
        </w:pict>
      </w:r>
    </w:p>
    <w:bookmarkStart w:id="18" w:name="citations"/>
    <w:p w14:paraId="3C08C120" w14:textId="77777777" w:rsidR="001E3362" w:rsidRDefault="00000000">
      <w:pPr>
        <w:pStyle w:val="FirstParagraph"/>
      </w:pPr>
      <w:r>
        <w:fldChar w:fldCharType="begin"/>
      </w:r>
      <w:r>
        <w:instrText>HYPERLINK "https://www.marvelousquran.org/afewwordsaboutthemqp" \l ":~:text=o%20%C2%A0%20If%20the%20Qur%EA%9C%A4a%CC%84n,knowledge%20is%20contained%20within%20it" \h</w:instrText>
      </w:r>
      <w:r>
        <w:fldChar w:fldCharType="separate"/>
      </w:r>
      <w:r>
        <w:rPr>
          <w:rStyle w:val="Hyperlink"/>
        </w:rPr>
        <w:t>[1]</w:t>
      </w:r>
      <w:r>
        <w:fldChar w:fldCharType="end"/>
      </w:r>
      <w:r>
        <w:t xml:space="preserve"> </w:t>
      </w:r>
      <w:hyperlink r:id="rId38" w:anchor=":~:text=1,correction">
        <w:r>
          <w:rPr>
            <w:rStyle w:val="Hyperlink"/>
          </w:rPr>
          <w:t>[2]</w:t>
        </w:r>
      </w:hyperlink>
      <w:r>
        <w:t xml:space="preserve"> </w:t>
      </w:r>
      <w:hyperlink r:id="rId39" w:anchor=":~:text=3,clearly%20prohibits%20us%20from%20doing">
        <w:r>
          <w:rPr>
            <w:rStyle w:val="Hyperlink"/>
          </w:rPr>
          <w:t>[3]</w:t>
        </w:r>
      </w:hyperlink>
      <w:r>
        <w:t xml:space="preserve"> A few words about the Marvelous Quran Project</w:t>
      </w:r>
    </w:p>
    <w:p w14:paraId="36E5CA8F" w14:textId="77777777" w:rsidR="001E3362" w:rsidRDefault="00000000">
      <w:pPr>
        <w:pStyle w:val="BodyText"/>
      </w:pPr>
      <w:hyperlink r:id="rId40">
        <w:r>
          <w:rPr>
            <w:rStyle w:val="Hyperlink"/>
          </w:rPr>
          <w:t>https://www.marvelousquran.org/afewwordsaboutthemqp</w:t>
        </w:r>
      </w:hyperlink>
    </w:p>
    <w:p w14:paraId="289892F0" w14:textId="77777777" w:rsidR="001E3362" w:rsidRDefault="00000000">
      <w:pPr>
        <w:pStyle w:val="BodyText"/>
      </w:pPr>
      <w:hyperlink r:id="rId41" w:anchor=":~:text=YT187%20Extra,Beyond%20Death">
        <w:r>
          <w:rPr>
            <w:rStyle w:val="Hyperlink"/>
          </w:rPr>
          <w:t>[4]</w:t>
        </w:r>
      </w:hyperlink>
      <w:r>
        <w:t xml:space="preserve"> </w:t>
      </w:r>
      <w:hyperlink r:id="rId42" w:anchor=":~:text=Have%20you%20not%20pondered%20that,pulling%20him%20into%20further">
        <w:r>
          <w:rPr>
            <w:rStyle w:val="Hyperlink"/>
          </w:rPr>
          <w:t>[5]</w:t>
        </w:r>
      </w:hyperlink>
      <w:r>
        <w:t xml:space="preserve"> Marvelous Quran</w:t>
      </w:r>
    </w:p>
    <w:p w14:paraId="0049C381" w14:textId="77777777" w:rsidR="001E3362" w:rsidRDefault="00000000">
      <w:pPr>
        <w:pStyle w:val="BodyText"/>
      </w:pPr>
      <w:hyperlink r:id="rId43">
        <w:r>
          <w:rPr>
            <w:rStyle w:val="Hyperlink"/>
          </w:rPr>
          <w:t>https://www.marvelousquran.org/community/public/posts/615851-abrahamic-locution</w:t>
        </w:r>
      </w:hyperlink>
    </w:p>
    <w:p w14:paraId="28DDD5D3" w14:textId="77777777" w:rsidR="001E3362" w:rsidRDefault="00000000">
      <w:pPr>
        <w:pStyle w:val="BodyText"/>
      </w:pPr>
      <w:hyperlink r:id="rId44">
        <w:r>
          <w:rPr>
            <w:rStyle w:val="Hyperlink"/>
          </w:rPr>
          <w:t>[6]</w:t>
        </w:r>
      </w:hyperlink>
      <w:r>
        <w:t xml:space="preserve"> </w:t>
      </w:r>
      <w:hyperlink r:id="rId45" w:anchor=":~:text=Quran%20is%20Human%20psychology%20or,We">
        <w:r>
          <w:rPr>
            <w:rStyle w:val="Hyperlink"/>
          </w:rPr>
          <w:t>[7]</w:t>
        </w:r>
      </w:hyperlink>
      <w:r>
        <w:t xml:space="preserve"> </w:t>
      </w:r>
      <w:hyperlink r:id="rId46" w:anchor=":~:text=So%20the%20mental%20trees%20like,such%20as%20the%20Wahiyy">
        <w:r>
          <w:rPr>
            <w:rStyle w:val="Hyperlink"/>
          </w:rPr>
          <w:t>[8]</w:t>
        </w:r>
      </w:hyperlink>
      <w:r>
        <w:t xml:space="preserve"> </w:t>
      </w:r>
      <w:hyperlink r:id="rId47">
        <w:r>
          <w:rPr>
            <w:rStyle w:val="Hyperlink"/>
          </w:rPr>
          <w:t>[11]</w:t>
        </w:r>
      </w:hyperlink>
      <w:r>
        <w:t xml:space="preserve"> Marvelous Quran</w:t>
      </w:r>
    </w:p>
    <w:p w14:paraId="6160CEB4" w14:textId="77777777" w:rsidR="001E3362" w:rsidRDefault="00000000">
      <w:pPr>
        <w:pStyle w:val="BodyText"/>
      </w:pPr>
      <w:hyperlink r:id="rId48">
        <w:r>
          <w:rPr>
            <w:rStyle w:val="Hyperlink"/>
          </w:rPr>
          <w:t>https://www.marvelousquran.org/community/public/posts/297223-samawaat-ardh</w:t>
        </w:r>
      </w:hyperlink>
    </w:p>
    <w:p w14:paraId="59E6A974" w14:textId="77777777" w:rsidR="001E3362" w:rsidRDefault="00000000">
      <w:pPr>
        <w:pStyle w:val="BodyText"/>
      </w:pPr>
      <w:hyperlink r:id="rId49">
        <w:r>
          <w:rPr>
            <w:rStyle w:val="Hyperlink"/>
          </w:rPr>
          <w:t>[9]</w:t>
        </w:r>
      </w:hyperlink>
      <w:r>
        <w:t xml:space="preserve"> </w:t>
      </w:r>
      <w:hyperlink r:id="rId50">
        <w:r>
          <w:rPr>
            <w:rStyle w:val="Hyperlink"/>
          </w:rPr>
          <w:t>[10]</w:t>
        </w:r>
      </w:hyperlink>
      <w:r>
        <w:t xml:space="preserve"> 2025 07 27 MQLive - Q &amp; A on NCUs, ALUs, Multi-dimensions, The Telepathy Tapes - Part 3 - YouTube</w:t>
      </w:r>
    </w:p>
    <w:p w14:paraId="00FFADB9" w14:textId="77777777" w:rsidR="001E3362" w:rsidRDefault="00000000">
      <w:pPr>
        <w:pStyle w:val="BodyText"/>
      </w:pPr>
      <w:hyperlink r:id="rId51">
        <w:r>
          <w:rPr>
            <w:rStyle w:val="Hyperlink"/>
          </w:rPr>
          <w:t>https://www.youtube.com/watch</w:t>
        </w:r>
      </w:hyperlink>
      <w:bookmarkEnd w:id="18"/>
    </w:p>
    <w:sectPr w:rsidR="001E336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8C67F" w14:textId="77777777" w:rsidR="005B1C45" w:rsidRDefault="005B1C45" w:rsidP="00131AD5">
      <w:pPr>
        <w:spacing w:after="0"/>
      </w:pPr>
      <w:r>
        <w:separator/>
      </w:r>
    </w:p>
  </w:endnote>
  <w:endnote w:type="continuationSeparator" w:id="0">
    <w:p w14:paraId="04D9068C" w14:textId="77777777" w:rsidR="005B1C45" w:rsidRDefault="005B1C45" w:rsidP="00131A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7C182" w14:textId="77777777" w:rsidR="005B1C45" w:rsidRDefault="005B1C45" w:rsidP="00131AD5">
      <w:pPr>
        <w:spacing w:after="0"/>
      </w:pPr>
      <w:r>
        <w:separator/>
      </w:r>
    </w:p>
  </w:footnote>
  <w:footnote w:type="continuationSeparator" w:id="0">
    <w:p w14:paraId="32AB061B" w14:textId="77777777" w:rsidR="005B1C45" w:rsidRDefault="005B1C45" w:rsidP="00131AD5">
      <w:pPr>
        <w:spacing w:after="0"/>
      </w:pPr>
      <w:r>
        <w:continuationSeparator/>
      </w:r>
    </w:p>
  </w:footnote>
  <w:footnote w:id="1">
    <w:p w14:paraId="446314D6" w14:textId="5BAB3BF2" w:rsidR="00131AD5" w:rsidRPr="00131AD5" w:rsidRDefault="00131AD5">
      <w:pPr>
        <w:pStyle w:val="FootnoteText"/>
        <w:rPr>
          <w:lang w:val="en-CA"/>
        </w:rPr>
      </w:pPr>
      <w:r>
        <w:rPr>
          <w:rStyle w:val="FootnoteReference"/>
        </w:rPr>
        <w:footnoteRef/>
      </w:r>
      <w:r>
        <w:t xml:space="preserve"> </w:t>
      </w:r>
      <w:r w:rsidR="00371AC9">
        <w:t xml:space="preserve">From a </w:t>
      </w:r>
      <w:proofErr w:type="spellStart"/>
      <w:r w:rsidR="00371AC9">
        <w:t>nafs</w:t>
      </w:r>
      <w:proofErr w:type="spellEnd"/>
      <w:r w:rsidR="00371AC9">
        <w:t>-centric worldview, creating a world for oneself that does aligns more with one’s whims than with reality.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4EED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9651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43CFF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3980690">
    <w:abstractNumId w:val="0"/>
  </w:num>
  <w:num w:numId="2" w16cid:durableId="1390500837">
    <w:abstractNumId w:val="1"/>
  </w:num>
  <w:num w:numId="3" w16cid:durableId="137459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3362"/>
    <w:rsid w:val="00041A1D"/>
    <w:rsid w:val="000904B1"/>
    <w:rsid w:val="000C503B"/>
    <w:rsid w:val="00131AD5"/>
    <w:rsid w:val="001E3362"/>
    <w:rsid w:val="00340C41"/>
    <w:rsid w:val="00371AC9"/>
    <w:rsid w:val="003B42EA"/>
    <w:rsid w:val="003F280D"/>
    <w:rsid w:val="005620D7"/>
    <w:rsid w:val="005B1C45"/>
    <w:rsid w:val="005D06A7"/>
    <w:rsid w:val="00624FBB"/>
    <w:rsid w:val="00783D10"/>
    <w:rsid w:val="007B746A"/>
    <w:rsid w:val="00993EF6"/>
    <w:rsid w:val="009C5724"/>
    <w:rsid w:val="009D16A6"/>
    <w:rsid w:val="00A90B8C"/>
    <w:rsid w:val="00AD6A80"/>
    <w:rsid w:val="00CC230B"/>
    <w:rsid w:val="00DC0890"/>
    <w:rsid w:val="00EF3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0DC87"/>
  <w15:docId w15:val="{6F07F775-1380-4450-80F1-AC5818CD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rvelousquran.org/afewwordsaboutthemqp" TargetMode="External"/><Relationship Id="rId18" Type="http://schemas.openxmlformats.org/officeDocument/2006/relationships/hyperlink" Target="https://www.marvelousquran.org/community/public/posts/297223-samawaat-ardh" TargetMode="External"/><Relationship Id="rId26" Type="http://schemas.openxmlformats.org/officeDocument/2006/relationships/hyperlink" Target="https://www.marvelousquran.org/community/public/posts/615851-abrahamic-locution" TargetMode="External"/><Relationship Id="rId39" Type="http://schemas.openxmlformats.org/officeDocument/2006/relationships/hyperlink" Target="https://www.marvelousquran.org/afewwordsaboutthemqp" TargetMode="External"/><Relationship Id="rId21" Type="http://schemas.openxmlformats.org/officeDocument/2006/relationships/hyperlink" Target="https://www.marvelousquran.org/afewwordsaboutthemqp" TargetMode="External"/><Relationship Id="rId34" Type="http://schemas.openxmlformats.org/officeDocument/2006/relationships/hyperlink" Target="https://www.marvelousquran.org/community/public/posts/297223-samawaat-ardh" TargetMode="External"/><Relationship Id="rId42" Type="http://schemas.openxmlformats.org/officeDocument/2006/relationships/hyperlink" Target="https://www.marvelousquran.org/community/public/posts/615851-abrahamic-locution" TargetMode="External"/><Relationship Id="rId47" Type="http://schemas.openxmlformats.org/officeDocument/2006/relationships/hyperlink" Target="https://www.marvelousquran.org/community/public/posts/297223-samawaat-ardh" TargetMode="External"/><Relationship Id="rId50" Type="http://schemas.openxmlformats.org/officeDocument/2006/relationships/hyperlink" Target="https://www.youtube.com/watch" TargetMode="External"/><Relationship Id="rId7" Type="http://schemas.openxmlformats.org/officeDocument/2006/relationships/hyperlink" Target="https://www.marvelousquran.org/afewwordsaboutthemqp" TargetMode="External"/><Relationship Id="rId2" Type="http://schemas.openxmlformats.org/officeDocument/2006/relationships/styles" Target="styles.xml"/><Relationship Id="rId16" Type="http://schemas.openxmlformats.org/officeDocument/2006/relationships/hyperlink" Target="https://www.marvelousquran.org/community/public/posts/297223-samawaat-ardh" TargetMode="External"/><Relationship Id="rId29" Type="http://schemas.openxmlformats.org/officeDocument/2006/relationships/hyperlink" Target="https://www.marvelousquran.org/afewwordsaboutthemqp" TargetMode="External"/><Relationship Id="rId11" Type="http://schemas.openxmlformats.org/officeDocument/2006/relationships/hyperlink" Target="https://www.marvelousquran.org/afewwordsaboutthemqp" TargetMode="External"/><Relationship Id="rId24" Type="http://schemas.openxmlformats.org/officeDocument/2006/relationships/hyperlink" Target="https://www.marvelousquran.org/afewwordsaboutthemqp" TargetMode="External"/><Relationship Id="rId32" Type="http://schemas.openxmlformats.org/officeDocument/2006/relationships/hyperlink" Target="https://www.marvelousquran.org/afewwordsaboutthemqp" TargetMode="External"/><Relationship Id="rId37" Type="http://schemas.openxmlformats.org/officeDocument/2006/relationships/hyperlink" Target="https://www.youtube.com/watch" TargetMode="External"/><Relationship Id="rId40" Type="http://schemas.openxmlformats.org/officeDocument/2006/relationships/hyperlink" Target="https://www.marvelousquran.org/afewwordsaboutthemqp" TargetMode="External"/><Relationship Id="rId45" Type="http://schemas.openxmlformats.org/officeDocument/2006/relationships/hyperlink" Target="https://www.marvelousquran.org/community/public/posts/297223-samawaat-ardh"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www.marvelousquran.org/afewwordsaboutthemqp" TargetMode="External"/><Relationship Id="rId19" Type="http://schemas.openxmlformats.org/officeDocument/2006/relationships/hyperlink" Target="https://www.youtube.com/watch" TargetMode="External"/><Relationship Id="rId31" Type="http://schemas.openxmlformats.org/officeDocument/2006/relationships/hyperlink" Target="https://www.marvelousquran.org/afewwordsaboutthemqp" TargetMode="External"/><Relationship Id="rId44" Type="http://schemas.openxmlformats.org/officeDocument/2006/relationships/hyperlink" Target="https://www.marvelousquran.org/community/public/posts/297223-samawaat-ardh"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arvelousquran.org/afewwordsaboutthemqp" TargetMode="External"/><Relationship Id="rId14" Type="http://schemas.openxmlformats.org/officeDocument/2006/relationships/hyperlink" Target="https://www.marvelousquran.org/community/public/posts/615851-abrahamic-locution" TargetMode="External"/><Relationship Id="rId22" Type="http://schemas.openxmlformats.org/officeDocument/2006/relationships/hyperlink" Target="https://www.marvelousquran.org/afewwordsaboutthemqp" TargetMode="External"/><Relationship Id="rId27" Type="http://schemas.openxmlformats.org/officeDocument/2006/relationships/hyperlink" Target="https://www.marvelousquran.org/community/public/posts/297223-samawaat-ardh" TargetMode="External"/><Relationship Id="rId30" Type="http://schemas.openxmlformats.org/officeDocument/2006/relationships/hyperlink" Target="https://www.marvelousquran.org/community/public/posts/615851-abrahamic-locution" TargetMode="External"/><Relationship Id="rId35" Type="http://schemas.openxmlformats.org/officeDocument/2006/relationships/hyperlink" Target="https://www.marvelousquran.org/community/public/posts/297223-samawaat-ardh" TargetMode="External"/><Relationship Id="rId43" Type="http://schemas.openxmlformats.org/officeDocument/2006/relationships/hyperlink" Target="https://www.marvelousquran.org/community/public/posts/615851-abrahamic-locution" TargetMode="External"/><Relationship Id="rId48" Type="http://schemas.openxmlformats.org/officeDocument/2006/relationships/hyperlink" Target="https://www.marvelousquran.org/community/public/posts/297223-samawaat-ardh" TargetMode="External"/><Relationship Id="rId8" Type="http://schemas.openxmlformats.org/officeDocument/2006/relationships/hyperlink" Target="https://www.marvelousquran.org/afewwordsaboutthemqp" TargetMode="External"/><Relationship Id="rId51" Type="http://schemas.openxmlformats.org/officeDocument/2006/relationships/hyperlink" Target="https://www.youtube.com/watch" TargetMode="External"/><Relationship Id="rId3" Type="http://schemas.openxmlformats.org/officeDocument/2006/relationships/settings" Target="settings.xml"/><Relationship Id="rId12" Type="http://schemas.openxmlformats.org/officeDocument/2006/relationships/hyperlink" Target="https://www.marvelousquran.org/afewwordsaboutthemqp" TargetMode="External"/><Relationship Id="rId17" Type="http://schemas.openxmlformats.org/officeDocument/2006/relationships/hyperlink" Target="https://www.marvelousquran.org/community/public/posts/297223-samawaat-ardh" TargetMode="External"/><Relationship Id="rId25" Type="http://schemas.openxmlformats.org/officeDocument/2006/relationships/hyperlink" Target="https://www.marvelousquran.org/afewwordsaboutthemqp" TargetMode="External"/><Relationship Id="rId33" Type="http://schemas.openxmlformats.org/officeDocument/2006/relationships/hyperlink" Target="https://www.marvelousquran.org/afewwordsaboutthemqp" TargetMode="External"/><Relationship Id="rId38" Type="http://schemas.openxmlformats.org/officeDocument/2006/relationships/hyperlink" Target="https://www.marvelousquran.org/afewwordsaboutthemqp" TargetMode="External"/><Relationship Id="rId46" Type="http://schemas.openxmlformats.org/officeDocument/2006/relationships/hyperlink" Target="https://www.marvelousquran.org/community/public/posts/297223-samawaat-ardh" TargetMode="External"/><Relationship Id="rId20" Type="http://schemas.openxmlformats.org/officeDocument/2006/relationships/hyperlink" Target="https://www.youtube.com/watch" TargetMode="External"/><Relationship Id="rId41" Type="http://schemas.openxmlformats.org/officeDocument/2006/relationships/hyperlink" Target="https://www.marvelousquran.org/community/public/posts/615851-abrahamic-locutio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marvelousquran.org/community/public/posts/615851-abrahamic-locution" TargetMode="External"/><Relationship Id="rId23" Type="http://schemas.openxmlformats.org/officeDocument/2006/relationships/hyperlink" Target="https://www.marvelousquran.org/community/public/posts/297223-samawaat-ardh" TargetMode="External"/><Relationship Id="rId28" Type="http://schemas.openxmlformats.org/officeDocument/2006/relationships/hyperlink" Target="https://www.marvelousquran.org/community/public/posts/297223-samawaat-ardh" TargetMode="External"/><Relationship Id="rId36" Type="http://schemas.openxmlformats.org/officeDocument/2006/relationships/hyperlink" Target="https://www.marvelousquran.org/community/public/posts/615851-abrahamic-locution" TargetMode="External"/><Relationship Id="rId49" Type="http://schemas.openxmlformats.org/officeDocument/2006/relationships/hyperlink" Target="https://www.youtube.com/w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6</Pages>
  <Words>3019</Words>
  <Characters>17210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Yassine Amraoui</cp:lastModifiedBy>
  <cp:revision>20</cp:revision>
  <dcterms:created xsi:type="dcterms:W3CDTF">2025-08-06T13:16:00Z</dcterms:created>
  <dcterms:modified xsi:type="dcterms:W3CDTF">2025-08-06T18:34:00Z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