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52DC" w14:textId="5F4EA8BC" w:rsidR="00EF3ED5" w:rsidRDefault="0006613F" w:rsidP="0006613F">
      <w:pPr>
        <w:pStyle w:val="Heading1"/>
      </w:pPr>
      <w:r>
        <w:t>Utopia</w:t>
      </w:r>
    </w:p>
    <w:p w14:paraId="13BB342C" w14:textId="77777777" w:rsidR="0006613F" w:rsidRPr="0006613F" w:rsidRDefault="0006613F" w:rsidP="0006613F">
      <w:r w:rsidRPr="0006613F">
        <w:rPr>
          <w:b/>
          <w:bCs/>
        </w:rPr>
        <w:t>Opening</w:t>
      </w:r>
      <w:r w:rsidRPr="0006613F">
        <w:t xml:space="preserve"> When people think of utopia, they often picture it as something far removed from the present—an ideal world disconnected from the reality we live in now. But what if we focused on the path between the present and the envisioned utopia? What if we could clearly see how our current systems could evolve into something better? Not a static dream, but a living, evolving system—one designed to adapt, improve, and repair itself.</w:t>
      </w:r>
    </w:p>
    <w:p w14:paraId="0FCD3276" w14:textId="77777777" w:rsidR="0006613F" w:rsidRPr="0006613F" w:rsidRDefault="0006613F" w:rsidP="0006613F">
      <w:r w:rsidRPr="0006613F">
        <w:rPr>
          <w:b/>
          <w:bCs/>
        </w:rPr>
        <w:t>Cultural Disillusionment</w:t>
      </w:r>
      <w:r w:rsidRPr="0006613F">
        <w:br/>
        <w:t>I don’t spend much time anymore on social media or trending content, but when I do, I’m struck by how much attention is consumed by entertainment, celebrity culture, and influencer idolization. It’s not that creativity or fun have no place, but so often the spotlight ignores the urgent and important work that could change lives in tangible ways. Even large-scale acts of generosity, like those from popular figures such as MrBeast, tend to focus mainly on giving money. What we also need are projects that combine resources with philosophy—bringing minds together to create new ideas and new solutions to problems we all know too well. This disillusionment is one of the reasons a utopian vision feels so urgent: to inspire focus on what truly matters.</w:t>
      </w:r>
    </w:p>
    <w:p w14:paraId="4E158E5E" w14:textId="77777777" w:rsidR="0006613F" w:rsidRPr="0006613F" w:rsidRDefault="0006613F" w:rsidP="0006613F">
      <w:r w:rsidRPr="0006613F">
        <w:rPr>
          <w:b/>
          <w:bCs/>
        </w:rPr>
        <w:t>The Individual</w:t>
      </w:r>
      <w:r w:rsidRPr="0006613F">
        <w:br/>
        <w:t>In this vision, change begins with you. We cannot expect the collective to move all at once, but you can take the first steps. The goal is to make the tools, resources, and knowledge accessible to you—empowering you to build, experiment, and demonstrate what’s possible. From your action, broader transformation can grow. And with that comes a deeper responsibility: many of the problems we face today persist not only because of systemic issues, but because individuals neglect their own responsibilities toward others—whether in educating themselves, treating people with respect, or striving for excellence for the sake of improving both their own lives and the shared world we inhabit.</w:t>
      </w:r>
    </w:p>
    <w:p w14:paraId="2C037A26" w14:textId="77777777" w:rsidR="0006613F" w:rsidRPr="0006613F" w:rsidRDefault="0006613F" w:rsidP="0006613F">
      <w:r w:rsidRPr="0006613F">
        <w:rPr>
          <w:b/>
          <w:bCs/>
        </w:rPr>
        <w:t>Technology &amp; Nature</w:t>
      </w:r>
      <w:r w:rsidRPr="0006613F">
        <w:br/>
        <w:t>We don’t need distant miracles to make life better. The tools exist today. In this utopia, technology works with nature, not against it. Cities generate more energy than they use. Food is local, abundant, and grown in harmony with the land. Waste is designed out of the system entirely.</w:t>
      </w:r>
    </w:p>
    <w:p w14:paraId="1C71E105" w14:textId="77777777" w:rsidR="0006613F" w:rsidRPr="0006613F" w:rsidRDefault="0006613F" w:rsidP="0006613F">
      <w:r w:rsidRPr="0006613F">
        <w:rPr>
          <w:b/>
          <w:bCs/>
        </w:rPr>
        <w:t>Education &amp; Creativity</w:t>
      </w:r>
      <w:r w:rsidRPr="0006613F">
        <w:br/>
        <w:t xml:space="preserve">Education is already lifelong and, for many, accessible—but there’s a disconnect between what we learn and how it’s recognized. Much of our learning happens outside classrooms, beyond the control of institutions, in moments that shape who we are. Yet the value of this </w:t>
      </w:r>
      <w:r w:rsidRPr="0006613F">
        <w:lastRenderedPageBreak/>
        <w:t>learning is often invisible unless it comes with formal accreditation. In this vision, every skill, insight, and achievement—no matter where or how it’s gained—can be acknowledged. We imagine a world where your growth is documented, celebrated, and rewarded, where learning itself is currency for contribution.</w:t>
      </w:r>
    </w:p>
    <w:p w14:paraId="57D22ECB" w14:textId="77777777" w:rsidR="0006613F" w:rsidRPr="0006613F" w:rsidRDefault="0006613F" w:rsidP="0006613F">
      <w:r w:rsidRPr="0006613F">
        <w:rPr>
          <w:b/>
          <w:bCs/>
        </w:rPr>
        <w:t>The Grand Vision</w:t>
      </w:r>
      <w:r w:rsidRPr="0006613F">
        <w:br/>
        <w:t>Countless people are already building useful, transformative solutions for today. What’s often missing is a unifying vision—a framework or story that connects all these efforts into a coherent picture of the future they are shaping. And not just the future they want to shape, but the future we are actually building right now. Where is all of this leading? One of the purposes of this project is to paint that picture—to show clearly how today’s innovations, efforts, and struggles connect into a larger whole. We aim to reveal not only the pieces, but the complete image of the world they are creating.</w:t>
      </w:r>
    </w:p>
    <w:p w14:paraId="355A0181" w14:textId="77777777" w:rsidR="0006613F" w:rsidRPr="0006613F" w:rsidRDefault="0006613F" w:rsidP="0006613F">
      <w:r w:rsidRPr="0006613F">
        <w:rPr>
          <w:b/>
          <w:bCs/>
        </w:rPr>
        <w:t>Automation &amp; Uncertainty</w:t>
      </w:r>
      <w:r w:rsidRPr="0006613F">
        <w:br/>
        <w:t>Many people today fear that artificial intelligence and automation will take over their jobs—and that process has already begun. New graduates are struggling to find work, while those with jobs cling to them more tightly than before. Economic instability, political tension between global powers, and the crumbling of outdated systems—both economic and educational—add to the uncertainty. Some suggest that full automation will bring an age where no one needs to work, but few address the deeper question: if nobody works, what will we do with our lives? This vision seeks to explore those questions and offer meaningful answers.</w:t>
      </w:r>
    </w:p>
    <w:p w14:paraId="58F890F2" w14:textId="77777777" w:rsidR="0006613F" w:rsidRPr="0006613F" w:rsidRDefault="0006613F" w:rsidP="0006613F">
      <w:r w:rsidRPr="0006613F">
        <w:rPr>
          <w:b/>
          <w:bCs/>
        </w:rPr>
        <w:t>Concerns About Utopia</w:t>
      </w:r>
      <w:r w:rsidRPr="0006613F">
        <w:br/>
        <w:t>Some people fear utopias because of the question: who will control it? Whoever holds that power could twist a utopia into a nightmare. Others imagine utopia as a static, perfect society—unchanging, with nothing left to improve. Theology, and especially the concept of an afterlife, offers a useful counterpoint. Just as heaven is often misunderstood as a final, frozen perfection, we must recognize that only one is truly perfect—and we are not it. Growth never ends. A true utopia would be a new state of reality, where challenges evolve into entirely new dimensions we cannot yet imagine. The problems we solve and the creations we pursue would only grow in complexity, pushing us to engage with reality at the highest level.</w:t>
      </w:r>
    </w:p>
    <w:p w14:paraId="52DD8102" w14:textId="77777777" w:rsidR="0006613F" w:rsidRPr="0006613F" w:rsidRDefault="0006613F" w:rsidP="0006613F">
      <w:r w:rsidRPr="0006613F">
        <w:rPr>
          <w:b/>
          <w:bCs/>
        </w:rPr>
        <w:t>Human Perception</w:t>
      </w:r>
      <w:r w:rsidRPr="0006613F">
        <w:br/>
        <w:t xml:space="preserve">Recently, it has begun to be recognized that human perception is fundamental to our experience of reality. Thinkers like Ken Wilber have called for a change in scientific methodology—one that begins by considering the observer first, and then what is being observed, rather than treating them as separate. For this reason, one of the most important </w:t>
      </w:r>
      <w:r w:rsidRPr="0006613F">
        <w:lastRenderedPageBreak/>
        <w:t>first steps is to understand human psychology and neuroscience. To clarify, I do not believe that consciousness resides solely in the brain, but that the brain acts as a kind of receiver or petri dish for the signals of consciousness—signals that may originate from a dimension or universe beyond our current ability to detect. For example, even something as simple as how two people interpret the same piece of art differently shows how perception actively shapes reality.</w:t>
      </w:r>
    </w:p>
    <w:p w14:paraId="16AB158D" w14:textId="77777777" w:rsidR="0006613F" w:rsidRPr="0006613F" w:rsidRDefault="0006613F" w:rsidP="0006613F">
      <w:r w:rsidRPr="0006613F">
        <w:rPr>
          <w:b/>
          <w:bCs/>
        </w:rPr>
        <w:t>Linguistics &amp; Universal Structures</w:t>
      </w:r>
      <w:r w:rsidRPr="0006613F">
        <w:br/>
        <w:t>I have long been fascinated by the works of past visionaries like Buckminster Fuller and Gottfried Wilhelm Leibniz, who imagined a universal language. I see this as a deeply futuristic, utopian idea—one that resonates strongly with the vision we present here. We believe linguistics will play a central role in this transformation. As Chris Langan argues in his CTMU theory, linguistic structure is the most general structure capable of describing reality. If this is true, then any system could, in principle, be modeled within a linguistic framework. This would allow us to study any field using a shared structural approach—adapting specific methods as needed—and to transfer knowledge seamlessly from one discipline to another once we understand their common foundations and how to interpret them. For instance, the same linguistic modeling principles that help decode natural languages could also be applied to understanding genetic code or computer programming languages, showing how insights can travel across fields.</w:t>
      </w:r>
    </w:p>
    <w:p w14:paraId="3C66844F" w14:textId="77777777" w:rsidR="0006613F" w:rsidRPr="0006613F" w:rsidRDefault="0006613F" w:rsidP="0006613F">
      <w:r w:rsidRPr="0006613F">
        <w:rPr>
          <w:b/>
          <w:bCs/>
        </w:rPr>
        <w:t>Local Action</w:t>
      </w:r>
      <w:r w:rsidRPr="0006613F">
        <w:br/>
        <w:t>This vision isn’t just a dream. The purpose of imagining this utopia is to find what’s already being done today to make it real—and to connect with the people and projects that are moving us closer. While much of the work toward a better future is happening all over the world, here we will focus on specific local implementations that can be done in Ottawa and Ontario. We think globally, but act locally—drawing inspiration from global progress while creating tangible change in our own communities.</w:t>
      </w:r>
    </w:p>
    <w:p w14:paraId="6B99E323" w14:textId="2FE6B0A6" w:rsidR="0006613F" w:rsidRPr="0006613F" w:rsidRDefault="0006613F" w:rsidP="0006613F">
      <w:r w:rsidRPr="0006613F">
        <w:rPr>
          <w:b/>
          <w:bCs/>
        </w:rPr>
        <w:t>Closing</w:t>
      </w:r>
      <w:r w:rsidRPr="0006613F">
        <w:br/>
        <w:t>A utopia isn’t a final destination. It’s a process—a commitment to shaping a better world today, so that tomorrow can be even better.</w:t>
      </w:r>
    </w:p>
    <w:p w14:paraId="525E9B94" w14:textId="2A857F2F" w:rsidR="0006613F" w:rsidRDefault="0006613F" w:rsidP="0006613F">
      <w:pPr>
        <w:pStyle w:val="Heading1"/>
      </w:pPr>
      <w:r>
        <w:t>Distopia</w:t>
      </w:r>
    </w:p>
    <w:p w14:paraId="21BFD618" w14:textId="77777777" w:rsidR="0006613F" w:rsidRPr="0006613F" w:rsidRDefault="0006613F" w:rsidP="0006613F">
      <w:r w:rsidRPr="0006613F">
        <w:rPr>
          <w:b/>
          <w:bCs/>
        </w:rPr>
        <w:t>Context and Intent:</w:t>
      </w:r>
      <w:r w:rsidRPr="0006613F">
        <w:t xml:space="preserve"> I’ve already framed the extremes—Utopia as the direction of maximal human flourishing, and Dystopia as the anti</w:t>
      </w:r>
      <w:r w:rsidRPr="0006613F">
        <w:noBreakHyphen/>
        <w:t>goal we must steer away from. Now I’m narrowing the lens to the present—what is happening, what’s next, and the specific steps we can take—using a three</w:t>
      </w:r>
      <w:r w:rsidRPr="0006613F">
        <w:noBreakHyphen/>
        <w:t xml:space="preserve">act structure to smooth flow and avoid repetition: (1) Diagnosis </w:t>
      </w:r>
      <w:r w:rsidRPr="0006613F">
        <w:lastRenderedPageBreak/>
        <w:t>(Where We Stand, Governance Crossroads, Democracy Reality Check); (2) Principles (Data/Identity, Trust Requires Symmetry, Reciprocity as Policy); (3) Program (Parallel Civic Architecture and the consolidated 30/60/90 plan). This order lets later sections cleanly reference earlier ones and prevents solutions from appearing before the problem is fully framed.</w:t>
      </w:r>
    </w:p>
    <w:p w14:paraId="57850AA5" w14:textId="77777777" w:rsidR="0006613F" w:rsidRPr="0006613F" w:rsidRDefault="0006613F" w:rsidP="0006613F">
      <w:r w:rsidRPr="0006613F">
        <w:rPr>
          <w:b/>
          <w:bCs/>
        </w:rPr>
        <w:t>Diagnosis:</w:t>
      </w:r>
      <w:r w:rsidRPr="0006613F">
        <w:t xml:space="preserve"> The first act is diagnosis: where automation concentrates power, how institutions respond, and what that implies for democratic claims.</w:t>
      </w:r>
    </w:p>
    <w:p w14:paraId="25F63110" w14:textId="77777777" w:rsidR="0006613F" w:rsidRPr="0006613F" w:rsidRDefault="0006613F" w:rsidP="0006613F">
      <w:r w:rsidRPr="0006613F">
        <w:rPr>
          <w:b/>
          <w:bCs/>
        </w:rPr>
        <w:t>Where We Stand:</w:t>
      </w:r>
      <w:r w:rsidRPr="0006613F">
        <w:t xml:space="preserve"> Automation is now infrastructure—running production, distribution, and decisions. Power pools where it is designed, deployed, and maintained. The question is whether that power serves the many or cages them. Institutions often lag, protecting prior equilibria rather than present needs; that lag creates a vacuum—and first movers write rules in code.</w:t>
      </w:r>
    </w:p>
    <w:p w14:paraId="70C4F379" w14:textId="77777777" w:rsidR="0006613F" w:rsidRPr="0006613F" w:rsidRDefault="0006613F" w:rsidP="0006613F">
      <w:r w:rsidRPr="0006613F">
        <w:rPr>
          <w:b/>
          <w:bCs/>
        </w:rPr>
        <w:t>Automation’s Leverage:</w:t>
      </w:r>
      <w:r w:rsidRPr="0006613F">
        <w:t xml:space="preserve"> The near future is a gradient, not a flip. In the next few years, routine cognitive and procedural work will continue to be automated by default. Interfaces will hide complexity; systems will act without explanation. If we do nothing, opacity becomes the norm, and the locus of control shifts from users to system operators. If we act, we can insist on explainability, consent, and reversibility as design defaults, and we can build automation that strengthens local agency instead of replacing it.</w:t>
      </w:r>
    </w:p>
    <w:p w14:paraId="4EBD5FCB" w14:textId="77777777" w:rsidR="0006613F" w:rsidRPr="0006613F" w:rsidRDefault="0006613F" w:rsidP="0006613F">
      <w:r w:rsidRPr="0006613F">
        <w:rPr>
          <w:b/>
          <w:bCs/>
        </w:rPr>
        <w:t>Governance Crossroads:</w:t>
      </w:r>
      <w:r w:rsidRPr="0006613F">
        <w:t xml:space="preserve"> I am not anti-government. I prefer collaboration. But I refuse to treat the law as sacred dogma rather than a fallible approximation at best. Any approximation can be gamed; bad actors have always tried to encode advantage into rules. Democracy as branding is not democracy as practice. If policy cannot keep pace with reality, people will route around it; the only question is whether that routing is constructive and accountable—or cynical and predatory.</w:t>
      </w:r>
    </w:p>
    <w:p w14:paraId="5210CBE2" w14:textId="77777777" w:rsidR="0006613F" w:rsidRPr="0006613F" w:rsidRDefault="0006613F" w:rsidP="0006613F">
      <w:r w:rsidRPr="0006613F">
        <w:rPr>
          <w:b/>
          <w:bCs/>
        </w:rPr>
        <w:t>Principles:</w:t>
      </w:r>
      <w:r w:rsidRPr="0006613F">
        <w:t xml:space="preserve"> The second act sets the guardrails: custody of self, reciprocal transparency, and enforceable rights that travel with our data and identities.</w:t>
      </w:r>
    </w:p>
    <w:p w14:paraId="696A6E79" w14:textId="77777777" w:rsidR="0006613F" w:rsidRPr="0006613F" w:rsidRDefault="0006613F" w:rsidP="0006613F">
      <w:r w:rsidRPr="0006613F">
        <w:rPr>
          <w:b/>
          <w:bCs/>
        </w:rPr>
        <w:t>Data, Identity, and Ownership:</w:t>
      </w:r>
      <w:r w:rsidRPr="0006613F">
        <w:t xml:space="preserve"> “Our own internet” begins with custody. Custody of identity, data, and compute means I can prove who I am without surrendering everything I am; I can grant access without granting permanent possession; I can use shared infrastructure without forfeiting agency. Practically, this means end-to-end encrypted communications, portable identity, local-first storage with selective replication, and audit trails that show who touched what, when, and why. Without these, governance becomes performance; with them, governance becomes verifiable practice.</w:t>
      </w:r>
    </w:p>
    <w:p w14:paraId="331CFBD6" w14:textId="77777777" w:rsidR="0006613F" w:rsidRPr="0006613F" w:rsidRDefault="0006613F" w:rsidP="0006613F">
      <w:r w:rsidRPr="0006613F">
        <w:rPr>
          <w:b/>
          <w:bCs/>
        </w:rPr>
        <w:t>Trust Requires Symmetry:</w:t>
      </w:r>
      <w:r w:rsidRPr="0006613F">
        <w:t xml:space="preserve"> We’re told to trust governments, militaries, and any actor with privileged access to our data because it is “for our own benefit.” But trust that only flows </w:t>
      </w:r>
      <w:r w:rsidRPr="0006613F">
        <w:lastRenderedPageBreak/>
        <w:t>one way is not trust; it is obedience. We will not be able to trust these institutions until we can also see what they see about us—at minimum: what data they hold, why they hold it, under what authority, who accessed it, and when. Transparency must be reciprocal or it fails.</w:t>
      </w:r>
    </w:p>
    <w:p w14:paraId="79F61F73" w14:textId="77777777" w:rsidR="0006613F" w:rsidRPr="0006613F" w:rsidRDefault="0006613F" w:rsidP="0006613F">
      <w:r w:rsidRPr="0006613F">
        <w:rPr>
          <w:b/>
          <w:bCs/>
        </w:rPr>
        <w:t>Transparent by Design:</w:t>
      </w:r>
      <w:r w:rsidRPr="0006613F">
        <w:t xml:space="preserve"> This is feasible without recklessness. Build systems that make institutional visibility visible to subjects: subject-access dashboards that show holdings and legal bases; immutable access logs with real-time notifications; warrant canaries and declassification clocks; independent, rotating civic auditors with technical competence; and cryptographic methods (hash commitments, differential privacy, zero</w:t>
      </w:r>
      <w:r w:rsidRPr="0006613F">
        <w:noBreakHyphen/>
        <w:t>knowledge proofs) to verify claims and counts without dumping raw records. Secrecy, where legitimate, should be narrow, time</w:t>
      </w:r>
      <w:r w:rsidRPr="0006613F">
        <w:noBreakHyphen/>
        <w:t>limited, justified, and logged—not a blanket.</w:t>
      </w:r>
    </w:p>
    <w:p w14:paraId="72216F64" w14:textId="77777777" w:rsidR="0006613F" w:rsidRPr="0006613F" w:rsidRDefault="0006613F" w:rsidP="0006613F">
      <w:r w:rsidRPr="0006613F">
        <w:rPr>
          <w:b/>
          <w:bCs/>
        </w:rPr>
        <w:t>Reciprocity as Policy:</w:t>
      </w:r>
      <w:r w:rsidRPr="0006613F">
        <w:t xml:space="preserve"> If an institution can process us, we can inspect it. If it keeps a dossier, we can read and correct it. If it models risk about us, we can see and contest the model. Without this symmetry, “security” becomes a pretext and legitimacy erodes; with it, consent can be meaningful and durable.</w:t>
      </w:r>
    </w:p>
    <w:p w14:paraId="07BB4FD5" w14:textId="77777777" w:rsidR="0006613F" w:rsidRPr="0006613F" w:rsidRDefault="0006613F" w:rsidP="0006613F">
      <w:r w:rsidRPr="0006613F">
        <w:rPr>
          <w:b/>
          <w:bCs/>
        </w:rPr>
        <w:t>Meaning After Automation:</w:t>
      </w:r>
      <w:r w:rsidRPr="0006613F">
        <w:t xml:space="preserve"> As Nick Bostrom argues in </w:t>
      </w:r>
      <w:r w:rsidRPr="0006613F">
        <w:rPr>
          <w:i/>
          <w:iCs/>
        </w:rPr>
        <w:t>Deep Utopia: Life and Meaning in a Solved World</w:t>
      </w:r>
      <w:r w:rsidRPr="0006613F">
        <w:t xml:space="preserve"> (2024), a “solved world” risks thinning sources of meaning. I treat that not as fate but as a design choice: if systems can do a thing, it does not follow they must—or that we are better off when they do.</w:t>
      </w:r>
    </w:p>
    <w:p w14:paraId="37F265A3" w14:textId="77777777" w:rsidR="0006613F" w:rsidRPr="0006613F" w:rsidRDefault="0006613F" w:rsidP="0006613F">
      <w:r w:rsidRPr="0006613F">
        <w:rPr>
          <w:b/>
          <w:bCs/>
        </w:rPr>
        <w:t>Designed Challenge, Not Engineered Apathy:</w:t>
      </w:r>
      <w:r w:rsidRPr="0006613F">
        <w:t xml:space="preserve"> When everything is frictionless, people risk losing purpose; society risks rising despair and self</w:t>
      </w:r>
      <w:r w:rsidRPr="0006613F">
        <w:noBreakHyphen/>
        <w:t>harm. The humane alternative is intentional difficulty: calibrated quests, projects, and rites of passage that are meaningful, measurable, and freely chosen—but not trivial. Automation can help craft these challenges with care, keep them fair, adapt them to our growth, and verify progress without hollowing out the struggle.</w:t>
      </w:r>
    </w:p>
    <w:p w14:paraId="6931EE16" w14:textId="77777777" w:rsidR="0006613F" w:rsidRPr="0006613F" w:rsidRDefault="0006613F" w:rsidP="0006613F">
      <w:r w:rsidRPr="0006613F">
        <w:rPr>
          <w:b/>
          <w:bCs/>
        </w:rPr>
        <w:t>Cosmic Apprenticeship:</w:t>
      </w:r>
      <w:r w:rsidRPr="0006613F">
        <w:t xml:space="preserve"> Many philosophies already treat the universe as a school—training us toward greater intelligence and character. Whether or not one shares my conviction that consciousness endures beyond physical life, the framing still holds: we are practicing for stages we barely understand. Tools that make bread easy need not make growth easy. Let automation handle drudgery so attention is freed for cultivation.</w:t>
      </w:r>
    </w:p>
    <w:p w14:paraId="3B87B3F5" w14:textId="77777777" w:rsidR="0006613F" w:rsidRPr="0006613F" w:rsidRDefault="0006613F" w:rsidP="0006613F">
      <w:r w:rsidRPr="0006613F">
        <w:rPr>
          <w:b/>
          <w:bCs/>
        </w:rPr>
        <w:t>Voluntary but Not Framed as Avoidance:</w:t>
      </w:r>
      <w:r w:rsidRPr="0006613F">
        <w:t xml:space="preserve"> Optional challenges are vital, but framing matters. If culture casts challenge as failure and ease as success, people will opt out of the very training that stabilizes meaning. The result is hollowness. Our systems and stories must normalize chosen difficulty and celebrate earned capability.</w:t>
      </w:r>
    </w:p>
    <w:p w14:paraId="600FA268" w14:textId="77777777" w:rsidR="0006613F" w:rsidRPr="0006613F" w:rsidRDefault="0006613F" w:rsidP="0006613F">
      <w:r w:rsidRPr="0006613F">
        <w:rPr>
          <w:b/>
          <w:bCs/>
        </w:rPr>
        <w:lastRenderedPageBreak/>
        <w:t>Program — 30/60/90 Days:</w:t>
      </w:r>
      <w:r w:rsidRPr="0006613F">
        <w:t xml:space="preserve"> The third act is execution: stand up parallel civic capacity and prove it locally before scaling.</w:t>
      </w:r>
    </w:p>
    <w:p w14:paraId="52D658E8" w14:textId="77777777" w:rsidR="0006613F" w:rsidRPr="0006613F" w:rsidRDefault="0006613F" w:rsidP="0006613F">
      <w:r w:rsidRPr="0006613F">
        <w:rPr>
          <w:b/>
          <w:bCs/>
        </w:rPr>
        <w:t>Parallel Civic Architecture:</w:t>
      </w:r>
      <w:r w:rsidRPr="0006613F">
        <w:t xml:space="preserve"> We can build member-owned networks that sit alongside the legacy stack. Think of neighborhood clouds for storage and compute, peer-to-peer communications that do not depend on a single platform’s permission, and community institutions with transparent rules, budgets, and logs. These are not pirate states; they are pilot states—prototypes that demonstrate feasibility and earn trust by being more reliable, more respectful, and more responsive than the status quo.</w:t>
      </w:r>
    </w:p>
    <w:p w14:paraId="041D900E" w14:textId="77777777" w:rsidR="0006613F" w:rsidRPr="0006613F" w:rsidRDefault="0006613F" w:rsidP="0006613F">
      <w:r w:rsidRPr="0006613F">
        <w:rPr>
          <w:b/>
          <w:bCs/>
        </w:rPr>
        <w:t>Program — 30/60/90 Days:</w:t>
      </w:r>
      <w:r w:rsidRPr="0006613F">
        <w:t xml:space="preserve"> 30 Days — Risk &amp; Core: Establish the Legal and Safety Layer (form a member</w:t>
      </w:r>
      <w:r w:rsidRPr="0006613F">
        <w:noBreakHyphen/>
        <w:t>owned entity, publish a risk register, default to consent and least privilege, automate backups with tested rollback). Audit dependence across identity, communication, storage, payments, and work; replace lock</w:t>
      </w:r>
      <w:r w:rsidRPr="0006613F">
        <w:noBreakHyphen/>
        <w:t>ins with local</w:t>
      </w:r>
      <w:r w:rsidRPr="0006613F">
        <w:noBreakHyphen/>
        <w:t>first, portable, or open alternatives. Stand up the self</w:t>
      </w:r>
      <w:r w:rsidRPr="0006613F">
        <w:noBreakHyphen/>
        <w:t>hosted core (E2EE messaging, local</w:t>
      </w:r>
      <w:r w:rsidRPr="0006613F">
        <w:noBreakHyphen/>
        <w:t>first notes/files, portable identity), practice recoveries, and make exit a feature.</w:t>
      </w:r>
    </w:p>
    <w:p w14:paraId="7D2C1F68" w14:textId="77777777" w:rsidR="0006613F" w:rsidRPr="0006613F" w:rsidRDefault="0006613F" w:rsidP="0006613F">
      <w:r w:rsidRPr="0006613F">
        <w:t>60 Days — Network &amp; Governance: Connect a Neighborhood Network (mesh or co</w:t>
      </w:r>
      <w:r w:rsidRPr="0006613F">
        <w:noBreakHyphen/>
        <w:t>op broadband where possible; shared compute/storage for commons data; clear rules; measured uptime). Adopt Transparent Governance (a living charter, readable logs, rotating roles, time</w:t>
      </w:r>
      <w:r w:rsidRPr="0006613F">
        <w:noBreakHyphen/>
        <w:t>limited powers, reversible decisions) paired with Literacy &amp; Apprenticeship modules that teach backups, logs, access control, and budget audits.</w:t>
      </w:r>
    </w:p>
    <w:p w14:paraId="20BDCD12" w14:textId="77777777" w:rsidR="0006613F" w:rsidRPr="0006613F" w:rsidRDefault="0006613F" w:rsidP="0006613F">
      <w:r w:rsidRPr="0006613F">
        <w:t>90 Days — Commons Automation &amp; Pilot: Deploy Automation for the Commons (scheduling, dispatch, inventory, energy saving, translation, accessibility) on community hardware that degrades gracefully offline with humans in the loop. Finalize guardrails against capture (portable data, forkable rules, published interfaces, private keys kept private). Close with a concrete first pilot aligned to the Closing Commitment: an Ottawa neighborhood cloud with a resident audit</w:t>
      </w:r>
      <w:r w:rsidRPr="0006613F">
        <w:noBreakHyphen/>
        <w:t>log portal and declassification</w:t>
      </w:r>
      <w:r w:rsidRPr="0006613F">
        <w:noBreakHyphen/>
        <w:t>clock demo.</w:t>
      </w:r>
    </w:p>
    <w:p w14:paraId="2C7101C8" w14:textId="77777777" w:rsidR="0006613F" w:rsidRPr="0006613F" w:rsidRDefault="0006613F" w:rsidP="0006613F">
      <w:r w:rsidRPr="0006613F">
        <w:rPr>
          <w:b/>
          <w:bCs/>
        </w:rPr>
        <w:t>The Democracy Reality Check:</w:t>
      </w:r>
      <w:r w:rsidRPr="0006613F">
        <w:t xml:space="preserve"> The pitch has been that the will of the people steers the ship. The experience has often been that influence steers the ship while the people push the oars. We want at minimum the freedom to build tools that improve self-sufficiency—food, power, shelter, communications, learning—without being throttled by fear, delay, or capture. If those efforts are undermined, cynicism grows. If they are enabled, legitimacy grows.</w:t>
      </w:r>
    </w:p>
    <w:p w14:paraId="065E321F" w14:textId="77777777" w:rsidR="0006613F" w:rsidRPr="0006613F" w:rsidRDefault="0006613F" w:rsidP="0006613F">
      <w:r w:rsidRPr="0006613F">
        <w:rPr>
          <w:b/>
          <w:bCs/>
        </w:rPr>
        <w:t>The Literacy Gap:</w:t>
      </w:r>
      <w:r w:rsidRPr="0006613F">
        <w:t xml:space="preserve"> There’s a fashionable call to “move beyond tech,” as if ignorance were a balm. If most people become technologically illiterate while systems grow more complex, a smaller cadre will hold outsized power, not by conspiracy but by competence. The only antidote is stewardship: apprenticeships, public tooling, and interfaces that reveal rather </w:t>
      </w:r>
      <w:r w:rsidRPr="0006613F">
        <w:lastRenderedPageBreak/>
        <w:t>than conceal. The goal is not that everyone becomes a programmer; the goal is that no one is defenseless.</w:t>
      </w:r>
    </w:p>
    <w:p w14:paraId="66B58848" w14:textId="77777777" w:rsidR="0006613F" w:rsidRPr="0006613F" w:rsidRDefault="0006613F" w:rsidP="0006613F">
      <w:r w:rsidRPr="0006613F">
        <w:rPr>
          <w:b/>
          <w:bCs/>
        </w:rPr>
        <w:t>Near-Future Trajectory:</w:t>
      </w:r>
      <w:r w:rsidRPr="0006613F">
        <w:t xml:space="preserve"> Short term, most organizations will adopt black-box automation to cut costs. Medium term, those who understand the boxes will set norms and extract rents. Long term, the culture either normalizes dependency or normalizes agency. We influence that curve now by the defaults we build and the institutions we form.</w:t>
      </w:r>
    </w:p>
    <w:p w14:paraId="5D3A14C3" w14:textId="77777777" w:rsidR="0006613F" w:rsidRPr="0006613F" w:rsidRDefault="0006613F" w:rsidP="0006613F">
      <w:r w:rsidRPr="0006613F">
        <w:rPr>
          <w:b/>
          <w:bCs/>
        </w:rPr>
        <w:t>Designed Challenge, Not Engineered Apathy:</w:t>
      </w:r>
      <w:r w:rsidRPr="0006613F">
        <w:t xml:space="preserve"> When everything is frictionless, people risk losing purpose; society risks rising despair and self</w:t>
      </w:r>
      <w:r w:rsidRPr="0006613F">
        <w:noBreakHyphen/>
        <w:t>harm. The humane alternative is intentional difficulty: calibrated quests, projects, and rites of passage that are meaningful, measurable, and freely chosen—but not trivial. Automation can help craft these challenges with care, keep them fair, adapt them to our growth, and verify progress without hollowing out the struggle.</w:t>
      </w:r>
    </w:p>
    <w:p w14:paraId="183B582E" w14:textId="77777777" w:rsidR="0006613F" w:rsidRPr="0006613F" w:rsidRDefault="0006613F" w:rsidP="0006613F">
      <w:r w:rsidRPr="0006613F">
        <w:rPr>
          <w:b/>
          <w:bCs/>
        </w:rPr>
        <w:t>Cosmic Apprenticeship:</w:t>
      </w:r>
      <w:r w:rsidRPr="0006613F">
        <w:t xml:space="preserve"> Many philosophies already treat the universe as a school—training us toward greater intelligence and character. Whether or not one shares my conviction that consciousness endures beyond physical life, the framing still holds: we are practicing for stages we barely understand. Tools that make bread easy need not make growth easy. Let automation handle drudgery so attention is freed for cultivation.</w:t>
      </w:r>
    </w:p>
    <w:p w14:paraId="37B2A04C" w14:textId="77777777" w:rsidR="0006613F" w:rsidRPr="0006613F" w:rsidRDefault="0006613F" w:rsidP="0006613F">
      <w:r w:rsidRPr="0006613F">
        <w:rPr>
          <w:b/>
          <w:bCs/>
        </w:rPr>
        <w:t>Voluntary but Not Framed as Avoidance:</w:t>
      </w:r>
      <w:r w:rsidRPr="0006613F">
        <w:t xml:space="preserve"> Optional challenges are vital, but framing matters. If culture casts challenge as failure and ease as success, people will opt out of the very training that stabilizes meaning. The result is hollowness. Our systems and stories must normalize chosen difficulty and celebrate earned capability.</w:t>
      </w:r>
    </w:p>
    <w:p w14:paraId="5ABC574E" w14:textId="77777777" w:rsidR="0006613F" w:rsidRPr="0006613F" w:rsidRDefault="0006613F" w:rsidP="0006613F">
      <w:r w:rsidRPr="0006613F">
        <w:rPr>
          <w:b/>
          <w:bCs/>
        </w:rPr>
        <w:t>Guardrails Against Capture:</w:t>
      </w:r>
      <w:r w:rsidRPr="0006613F">
        <w:t xml:space="preserve"> Design for exit at every layer: portable data, forkable rules, replicable infrastructure. Separate powers: those who operate systems should not unilaterally set policy; those who set policy should not quietly operate systems. Publish interfaces and keep private keys private.</w:t>
      </w:r>
    </w:p>
    <w:p w14:paraId="066E210F" w14:textId="77777777" w:rsidR="0006613F" w:rsidRPr="0006613F" w:rsidRDefault="0006613F" w:rsidP="0006613F">
      <w:r w:rsidRPr="0006613F">
        <w:rPr>
          <w:b/>
          <w:bCs/>
        </w:rPr>
        <w:t>What We Mean by Utopia Now:</w:t>
      </w:r>
      <w:r w:rsidRPr="0006613F">
        <w:t xml:space="preserve"> Utopia is not a finish line. It is a gradient away from preventable harm and toward compounding trust. The near-term version is mundane: working backups, readable logs, resilient neighborhoods, shared tools that respect users, and rules that can be challenged and improved. It looks small. It feels local. That is the point: foundations before skylines.</w:t>
      </w:r>
    </w:p>
    <w:p w14:paraId="49F6E822" w14:textId="77777777" w:rsidR="0006613F" w:rsidRPr="0006613F" w:rsidRDefault="0006613F" w:rsidP="0006613F">
      <w:r w:rsidRPr="0006613F">
        <w:rPr>
          <w:b/>
          <w:bCs/>
        </w:rPr>
        <w:t>Closing Commitment:</w:t>
      </w:r>
      <w:r w:rsidRPr="0006613F">
        <w:t xml:space="preserve"> I will collaborate with any institution willing to move toward verifiable, user-governed systems. And I will keep building prototypes where collaboration stalls. The message is simple: freedom with responsibility, automation with explanation, governance with exit. If we practice those three together, the future bends our way.</w:t>
      </w:r>
    </w:p>
    <w:p w14:paraId="1477147B" w14:textId="77777777" w:rsidR="0006613F" w:rsidRPr="0006613F" w:rsidRDefault="0006613F" w:rsidP="0006613F"/>
    <w:sectPr w:rsidR="0006613F" w:rsidRPr="000661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D5"/>
    <w:rsid w:val="0006613F"/>
    <w:rsid w:val="00134D51"/>
    <w:rsid w:val="007D5C35"/>
    <w:rsid w:val="00EF3E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D5B5"/>
  <w15:chartTrackingRefBased/>
  <w15:docId w15:val="{D96F540C-D79F-4D47-8210-4E9CA37C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ED5"/>
    <w:rPr>
      <w:rFonts w:eastAsiaTheme="majorEastAsia" w:cstheme="majorBidi"/>
      <w:color w:val="272727" w:themeColor="text1" w:themeTint="D8"/>
    </w:rPr>
  </w:style>
  <w:style w:type="paragraph" w:styleId="Title">
    <w:name w:val="Title"/>
    <w:basedOn w:val="Normal"/>
    <w:next w:val="Normal"/>
    <w:link w:val="TitleChar"/>
    <w:uiPriority w:val="10"/>
    <w:qFormat/>
    <w:rsid w:val="00EF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ED5"/>
    <w:pPr>
      <w:spacing w:before="160"/>
      <w:jc w:val="center"/>
    </w:pPr>
    <w:rPr>
      <w:i/>
      <w:iCs/>
      <w:color w:val="404040" w:themeColor="text1" w:themeTint="BF"/>
    </w:rPr>
  </w:style>
  <w:style w:type="character" w:customStyle="1" w:styleId="QuoteChar">
    <w:name w:val="Quote Char"/>
    <w:basedOn w:val="DefaultParagraphFont"/>
    <w:link w:val="Quote"/>
    <w:uiPriority w:val="29"/>
    <w:rsid w:val="00EF3ED5"/>
    <w:rPr>
      <w:i/>
      <w:iCs/>
      <w:color w:val="404040" w:themeColor="text1" w:themeTint="BF"/>
    </w:rPr>
  </w:style>
  <w:style w:type="paragraph" w:styleId="ListParagraph">
    <w:name w:val="List Paragraph"/>
    <w:basedOn w:val="Normal"/>
    <w:uiPriority w:val="34"/>
    <w:qFormat/>
    <w:rsid w:val="00EF3ED5"/>
    <w:pPr>
      <w:ind w:left="720"/>
      <w:contextualSpacing/>
    </w:pPr>
  </w:style>
  <w:style w:type="character" w:styleId="IntenseEmphasis">
    <w:name w:val="Intense Emphasis"/>
    <w:basedOn w:val="DefaultParagraphFont"/>
    <w:uiPriority w:val="21"/>
    <w:qFormat/>
    <w:rsid w:val="00EF3ED5"/>
    <w:rPr>
      <w:i/>
      <w:iCs/>
      <w:color w:val="0F4761" w:themeColor="accent1" w:themeShade="BF"/>
    </w:rPr>
  </w:style>
  <w:style w:type="paragraph" w:styleId="IntenseQuote">
    <w:name w:val="Intense Quote"/>
    <w:basedOn w:val="Normal"/>
    <w:next w:val="Normal"/>
    <w:link w:val="IntenseQuoteChar"/>
    <w:uiPriority w:val="30"/>
    <w:qFormat/>
    <w:rsid w:val="00EF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ED5"/>
    <w:rPr>
      <w:i/>
      <w:iCs/>
      <w:color w:val="0F4761" w:themeColor="accent1" w:themeShade="BF"/>
    </w:rPr>
  </w:style>
  <w:style w:type="character" w:styleId="IntenseReference">
    <w:name w:val="Intense Reference"/>
    <w:basedOn w:val="DefaultParagraphFont"/>
    <w:uiPriority w:val="32"/>
    <w:qFormat/>
    <w:rsid w:val="00EF3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2901</Words>
  <Characters>15931</Characters>
  <Application>Microsoft Office Word</Application>
  <DocSecurity>0</DocSecurity>
  <Lines>245</Lines>
  <Paragraphs>49</Paragraphs>
  <ScaleCrop>false</ScaleCrop>
  <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Amraoui</dc:creator>
  <cp:keywords/>
  <dc:description/>
  <cp:lastModifiedBy>Yassine Amraoui</cp:lastModifiedBy>
  <cp:revision>3</cp:revision>
  <dcterms:created xsi:type="dcterms:W3CDTF">2025-08-20T15:39:00Z</dcterms:created>
  <dcterms:modified xsi:type="dcterms:W3CDTF">2025-08-20T15:41:00Z</dcterms:modified>
</cp:coreProperties>
</file>