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56"/>
          <w:szCs w:val="56"/>
        </w:rPr>
        <w:t xml:space="preserve">PETCARE SUPER APP</w:t>
      </w:r>
    </w:p>
    <w:p>
      <w:pPr>
        <w:spacing w:after="0" w:before="80"/>
        <w:jc w:val="center"/>
      </w:pPr>
      <w:r>
        <w:rPr>
          <w:i/>
          <w:iCs/>
          <w:color w:val="2A9D8F"/>
          <w:sz w:val="24"/>
          <w:szCs w:val="24"/>
        </w:rPr>
        <w:t xml:space="preserve">A Verified, Trust-First Pet-Care Services Marketplace</w:t>
      </w:r>
    </w:p>
    <w:p>
      <w:pPr>
        <w:pBdr>
          <w:top w:val="single" w:color="2A9D8F" w:sz="6"/>
          <w:bottom w:val="single" w:color="2A9D8F" w:sz="6"/>
        </w:pBdr>
        <w:spacing w:after="0" w:before="520"/>
        <w:jc w:val="center"/>
      </w:pPr>
      <w:r>
        <w:rPr>
          <w:b/>
          <w:bCs/>
          <w:color w:val="334155"/>
          <w:sz w:val="32"/>
          <w:szCs w:val="32"/>
        </w:rPr>
        <w:t xml:space="preserve">  BUSINESS REQUIREMENTS DOCUMENT (BRD)  </w:t>
      </w:r>
    </w:p>
    <w:p>
      <w:pPr>
        <w:spacing w:after="0" w:before="620"/>
        <w:jc w:val="center"/>
      </w:pPr>
      <w:r>
        <w:rPr>
          <w:color w:val="64748B"/>
          <w:sz w:val="22"/>
          <w:szCs w:val="22"/>
        </w:rPr>
        <w:t xml:space="preserve">Prepared by the Office of the Chief Information Officer (CIO)</w:t>
      </w:r>
    </w:p>
    <w:p>
      <w:pPr>
        <w:spacing w:after="0" w:before="40"/>
        <w:jc w:val="center"/>
      </w:pPr>
      <w:r>
        <w:rPr>
          <w:color w:val="64748B"/>
          <w:sz w:val="20"/>
          <w:szCs w:val="20"/>
        </w:rPr>
        <w:t xml:space="preserve">Version 1.0  ·  Confidential  ·  For Internal Review</w:t>
      </w:r>
    </w:p>
    <w:p>
      <w:r>
        <w:br w:type="page"/>
      </w:r>
    </w:p>
    <w:p>
      <w:pPr>
        <w:pStyle w:val="Heading1"/>
        <w:spacing w:after="160" w:before="340"/>
      </w:pPr>
      <w:r>
        <w:rPr>
          <w:b/>
          <w:bCs/>
          <w:color w:val="1F3A5F"/>
          <w:sz w:val="30"/>
          <w:szCs w:val="30"/>
        </w:rPr>
        <w:t xml:space="preserve">Document Control</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6760"/>
      </w:tblGrid>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Document Title</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PetCare Super App — Business Requirements Document</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Version</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1.0 (Draft for stakeholder review)</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Author / Owner</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Office of the CIO</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Status</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Draft</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Classification</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Confidential — Internal</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Reviewers</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CTO, CIO, Lead AI Developer, QA Lead, Product Owner</w:t>
            </w:r>
          </w:p>
        </w:tc>
      </w:tr>
      <w:tr>
        <w:tc>
          <w:tcPr>
            <w:tcW w:type="dxa" w:w="26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Related Documents</w:t>
            </w:r>
          </w:p>
        </w:tc>
        <w:tc>
          <w:tcPr>
            <w:tcW w:type="dxa" w:w="6760"/>
            <w:shd w:fill="FFFFFF" w:color="auto" w:val="clear"/>
            <w:tcMar>
              <w:top w:type="dxa" w:w="70"/>
              <w:left w:type="dxa" w:w="110"/>
              <w:bottom w:type="dxa" w:w="70"/>
              <w:right w:type="dxa" w:w="110"/>
            </w:tcMar>
            <w:vAlign w:val="center"/>
          </w:tcPr>
          <w:p>
            <w:pPr>
              <w:spacing w:after="0" w:line="264"/>
            </w:pPr>
            <w:r>
              <w:rPr>
                <w:color w:val="334155"/>
                <w:sz w:val="19"/>
                <w:szCs w:val="19"/>
              </w:rPr>
              <w:t xml:space="preserve">Product Overview / PRD, FRD, Technical Architecture, Database Schema</w:t>
            </w:r>
          </w:p>
        </w:tc>
      </w:tr>
    </w:tbl>
    <w:p>
      <w:pPr>
        <w:spacing w:after="120"/>
      </w:pPr>
    </w:p>
    <w:p>
      <w:pPr>
        <w:pStyle w:val="Heading1"/>
        <w:spacing w:after="160" w:before="340"/>
      </w:pPr>
      <w:r>
        <w:rPr>
          <w:b/>
          <w:bCs/>
          <w:color w:val="1F3A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rPr>
          <w:b/>
          <w:bCs/>
          <w:color w:val="1F3A5F"/>
          <w:sz w:val="30"/>
          <w:szCs w:val="30"/>
        </w:rPr>
        <w:t xml:space="preserve">1. Executive Summary</w:t>
      </w:r>
    </w:p>
    <w:p>
      <w:pPr>
        <w:pBdr>
          <w:bottom w:val="single" w:color="2A9D8F" w:sz="6"/>
        </w:pBdr>
        <w:spacing w:after="160" w:before="60"/>
      </w:pPr>
    </w:p>
    <w:p>
      <w:pPr>
        <w:spacing w:after="120" w:line="276"/>
      </w:pPr>
      <w:r>
        <w:rPr>
          <w:color w:val="334155"/>
          <w:sz w:val="21"/>
          <w:szCs w:val="21"/>
        </w:rPr>
        <w:t xml:space="preserve">The PetCare Super App is a single, cross-platform mobile marketplace that connects pet owners (“Pet Parents”) with verified, independent pet-care professionals (“Pet Buddies”) across six core services: veterinary consultation, dog walking, grooming, training, boarding, and pet taxi. The platform's central promise is trust: every provider completes government-ID (KYC) verification, every service is validated through a two-step OTP workflow, and every booking produces an auditable record.</w:t>
      </w:r>
    </w:p>
    <w:p>
      <w:pPr>
        <w:spacing w:after="120" w:line="276"/>
      </w:pPr>
      <w:r>
        <w:rPr>
          <w:color w:val="334155"/>
          <w:sz w:val="21"/>
          <w:szCs w:val="21"/>
        </w:rPr>
        <w:t xml:space="preserve">This document defines the business rationale, objectives, target market, scope, and success criteria for the Minimum Viable Product (MVP). The MVP is deliberately launched as a pre-revenue, commission-free platform: the application does not process in-app payments in Phase 1. Settlement occurs directly between the two parties, and the platform records only the booking lifecycle. This decision minimises regulatory surface area and build cost while the business validates supply, demand, and trust mechanics.</w:t>
      </w:r>
    </w:p>
    <w:p>
      <w:pPr>
        <w:spacing w:after="120" w:line="276"/>
      </w:pPr>
      <w:r>
        <w:rPr>
          <w:b/>
          <w:bCs/>
          <w:color w:val="1F3A5F"/>
          <w:sz w:val="21"/>
          <w:szCs w:val="21"/>
        </w:rPr>
        <w:t xml:space="preserve">Strategic thesis: </w:t>
      </w:r>
      <w:r>
        <w:rPr>
          <w:color w:val="334155"/>
          <w:sz w:val="21"/>
          <w:szCs w:val="21"/>
        </w:rPr>
        <w:t xml:space="preserve">India's pet-care services market is large, fast-growing, and structurally fragmented. Discovery today happens through classifieds, social-media groups, and word of mouth, with no identity verification and no standardised service workflow. The PetCare Super App converts that fragmented, low-trust experience into a verified, accountable, and convenient digital ecosystem — starting in West India, the country's second-largest pet-care hub.</w:t>
      </w:r>
    </w:p>
    <w:p>
      <w:pPr>
        <w:pStyle w:val="Heading1"/>
        <w:spacing w:after="160" w:before="340"/>
      </w:pPr>
      <w:r>
        <w:rPr>
          <w:b/>
          <w:bCs/>
          <w:color w:val="1F3A5F"/>
          <w:sz w:val="30"/>
          <w:szCs w:val="30"/>
        </w:rPr>
        <w:t xml:space="preserve">2. Business Context &amp; Market Problem</w:t>
      </w:r>
    </w:p>
    <w:p>
      <w:pPr>
        <w:pBdr>
          <w:bottom w:val="single" w:color="2A9D8F" w:sz="6"/>
        </w:pBdr>
        <w:spacing w:after="160" w:before="60"/>
      </w:pPr>
    </w:p>
    <w:p>
      <w:pPr>
        <w:pStyle w:val="Heading2"/>
        <w:spacing w:after="120" w:before="240"/>
      </w:pPr>
      <w:r>
        <w:rPr>
          <w:b/>
          <w:bCs/>
          <w:color w:val="2A9D8F"/>
          <w:sz w:val="24"/>
          <w:szCs w:val="24"/>
        </w:rPr>
        <w:t xml:space="preserve">2.1 Market Opportunity</w:t>
      </w:r>
    </w:p>
    <w:p>
      <w:pPr>
        <w:spacing w:after="120" w:line="276"/>
      </w:pPr>
      <w:r>
        <w:rPr>
          <w:color w:val="334155"/>
          <w:sz w:val="21"/>
          <w:szCs w:val="21"/>
        </w:rPr>
        <w:t xml:space="preserve">India's pet economy has moved from niche to mainstream, driven by urbanisation, nuclear-family formation, rising disposable incomes, and the humanisation of pets. Key indicators from third-party market research:</w:t>
      </w:r>
    </w:p>
    <w:p>
      <w:pPr>
        <w:pStyle w:val="ListParagraph"/>
        <w:numPr>
          <w:ilvl w:val="0"/>
          <w:numId w:val="2"/>
        </w:numPr>
        <w:spacing w:after="80" w:line="272"/>
      </w:pPr>
      <w:r>
        <w:rPr>
          <w:color w:val="334155"/>
          <w:sz w:val="21"/>
          <w:szCs w:val="21"/>
        </w:rPr>
        <w:t xml:space="preserve">The combined India pet products-and-services market reached roughly USD 10.5 billion in FY2024 and is projected to grow to about USD 16.2 billion by FY2032. (Markets and Data, 2025)</w:t>
      </w:r>
    </w:p>
    <w:p>
      <w:pPr>
        <w:pStyle w:val="ListParagraph"/>
        <w:numPr>
          <w:ilvl w:val="0"/>
          <w:numId w:val="2"/>
        </w:numPr>
        <w:spacing w:after="80" w:line="272"/>
      </w:pPr>
      <w:r>
        <w:rPr>
          <w:color w:val="334155"/>
          <w:sz w:val="21"/>
          <w:szCs w:val="21"/>
        </w:rPr>
        <w:t xml:space="preserve">The India pet-services segment specifically generated about USD 1.95 billion in 2024 and is expected to reach USD 4.92 billion by 2033, a CAGR of roughly 10.8% — faster than the products segment. Medical/veterinary services are the single largest sub-segment. (Grand View Research / Horizon Databook, 2025)</w:t>
      </w:r>
    </w:p>
    <w:p>
      <w:pPr>
        <w:pStyle w:val="ListParagraph"/>
        <w:numPr>
          <w:ilvl w:val="0"/>
          <w:numId w:val="2"/>
        </w:numPr>
        <w:spacing w:after="80" w:line="272"/>
      </w:pPr>
      <w:r>
        <w:rPr>
          <w:color w:val="334155"/>
          <w:sz w:val="21"/>
          <w:szCs w:val="21"/>
        </w:rPr>
        <w:t xml:space="preserve">Household pet numbers rose from about 26 million (2019) to 32 million (2024), with the population trending toward ~39 million. (Unleashed by Purina; Euromonitor, 2024–2025)</w:t>
      </w:r>
    </w:p>
    <w:p>
      <w:pPr>
        <w:pStyle w:val="ListParagraph"/>
        <w:numPr>
          <w:ilvl w:val="0"/>
          <w:numId w:val="2"/>
        </w:numPr>
        <w:spacing w:after="80" w:line="272"/>
      </w:pPr>
      <w:r>
        <w:rPr>
          <w:color w:val="334155"/>
          <w:sz w:val="21"/>
          <w:szCs w:val="21"/>
        </w:rPr>
        <w:t xml:space="preserve">Approximately 70% of Indian pet parents in 2024 were first-time owners, skewing Gen Z and millennial — a digitally native cohort that expects app-based convenience. (Expert Market Research, 2025)</w:t>
      </w:r>
    </w:p>
    <w:p>
      <w:pPr>
        <w:pStyle w:val="ListParagraph"/>
        <w:numPr>
          <w:ilvl w:val="0"/>
          <w:numId w:val="2"/>
        </w:numPr>
        <w:spacing w:after="80" w:line="272"/>
      </w:pPr>
      <w:r>
        <w:rPr>
          <w:color w:val="334155"/>
          <w:sz w:val="21"/>
          <w:szCs w:val="21"/>
        </w:rPr>
        <w:t xml:space="preserve">West India (led by Mumbai and Pune) is the second-largest regional hub, projected at ~33.6% of pet-care revenue in 2025 — directly relevant to a Maharashtra-first launch. (Unleashed by Purina, 2025)</w:t>
      </w:r>
    </w:p>
    <w:p>
      <w:pPr>
        <w:spacing w:after="120" w:line="276"/>
      </w:pPr>
      <w:r>
        <w:rPr>
          <w:b/>
          <w:bCs/>
          <w:i/>
          <w:iCs/>
          <w:color w:val="64748B"/>
          <w:sz w:val="21"/>
          <w:szCs w:val="21"/>
        </w:rPr>
        <w:t xml:space="preserve">Note: </w:t>
      </w:r>
      <w:r>
        <w:rPr>
          <w:i/>
          <w:iCs/>
          <w:color w:val="64748B"/>
          <w:sz w:val="19"/>
          <w:szCs w:val="19"/>
        </w:rPr>
        <w:t xml:space="preserve">Market figures are drawn from independent research firms whose methodologies and definitions differ; they are directional inputs for planning and should be validated before use in fundraising or board materials.</w:t>
      </w:r>
    </w:p>
    <w:p>
      <w:pPr>
        <w:pStyle w:val="Heading2"/>
        <w:spacing w:after="120" w:before="240"/>
      </w:pPr>
      <w:r>
        <w:rPr>
          <w:b/>
          <w:bCs/>
          <w:color w:val="2A9D8F"/>
          <w:sz w:val="24"/>
          <w:szCs w:val="24"/>
        </w:rPr>
        <w:t xml:space="preserve">2.2 The Problem</w:t>
      </w:r>
    </w:p>
    <w:p>
      <w:pPr>
        <w:spacing w:after="120" w:line="276"/>
      </w:pPr>
      <w:r>
        <w:rPr>
          <w:color w:val="334155"/>
          <w:sz w:val="21"/>
          <w:szCs w:val="21"/>
        </w:rPr>
        <w:t xml:space="preserve">Despite a growing market, the pet-care services experience in India remains fragmented and low-trust. The core problems the platform addresses are:</w:t>
      </w:r>
    </w:p>
    <w:p>
      <w:pPr>
        <w:pStyle w:val="ListParagraph"/>
        <w:numPr>
          <w:ilvl w:val="0"/>
          <w:numId w:val="2"/>
        </w:numPr>
        <w:spacing w:after="80" w:line="272"/>
      </w:pPr>
      <w:r>
        <w:rPr>
          <w:b/>
          <w:bCs/>
          <w:color w:val="334155"/>
          <w:sz w:val="21"/>
          <w:szCs w:val="21"/>
        </w:rPr>
        <w:t xml:space="preserve">Trust deficit. </w:t>
      </w:r>
      <w:r>
        <w:rPr>
          <w:color w:val="334155"/>
          <w:sz w:val="21"/>
          <w:szCs w:val="21"/>
        </w:rPr>
        <w:t xml:space="preserve">There is no verification of who a service provider actually is. Pet owners hand over their pets — and often access to their homes — to strangers found via classifieds or social media, with no identity check.</w:t>
      </w:r>
    </w:p>
    <w:p>
      <w:pPr>
        <w:pStyle w:val="ListParagraph"/>
        <w:numPr>
          <w:ilvl w:val="0"/>
          <w:numId w:val="2"/>
        </w:numPr>
        <w:spacing w:after="80" w:line="272"/>
      </w:pPr>
      <w:r>
        <w:rPr>
          <w:b/>
          <w:bCs/>
          <w:color w:val="334155"/>
          <w:sz w:val="21"/>
          <w:szCs w:val="21"/>
        </w:rPr>
        <w:t xml:space="preserve">Discovery friction. </w:t>
      </w:r>
      <w:r>
        <w:rPr>
          <w:color w:val="334155"/>
          <w:sz w:val="21"/>
          <w:szCs w:val="21"/>
        </w:rPr>
        <w:t xml:space="preserve">Providers are scattered across WhatsApp groups, Instagram, local boards, and referrals. There is no single, searchable, filterable directory of nearby verified professionals.</w:t>
      </w:r>
    </w:p>
    <w:p>
      <w:pPr>
        <w:pStyle w:val="ListParagraph"/>
        <w:numPr>
          <w:ilvl w:val="0"/>
          <w:numId w:val="2"/>
        </w:numPr>
        <w:spacing w:after="80" w:line="272"/>
      </w:pPr>
      <w:r>
        <w:rPr>
          <w:b/>
          <w:bCs/>
          <w:color w:val="334155"/>
          <w:sz w:val="21"/>
          <w:szCs w:val="21"/>
        </w:rPr>
        <w:t xml:space="preserve">No structured workflow. </w:t>
      </w:r>
      <w:r>
        <w:rPr>
          <w:color w:val="334155"/>
          <w:sz w:val="21"/>
          <w:szCs w:val="21"/>
        </w:rPr>
        <w:t xml:space="preserve">Bookings are informal. There is no standard flow for request, acceptance, arrival confirmation, service start/finish, or proof of completion, which fuels no-shows and disputes.</w:t>
      </w:r>
    </w:p>
    <w:p>
      <w:pPr>
        <w:pStyle w:val="ListParagraph"/>
        <w:numPr>
          <w:ilvl w:val="0"/>
          <w:numId w:val="2"/>
        </w:numPr>
        <w:spacing w:after="80" w:line="272"/>
      </w:pPr>
      <w:r>
        <w:rPr>
          <w:b/>
          <w:bCs/>
          <w:color w:val="334155"/>
          <w:sz w:val="21"/>
          <w:szCs w:val="21"/>
        </w:rPr>
        <w:t xml:space="preserve">Weak accountability. </w:t>
      </w:r>
      <w:r>
        <w:rPr>
          <w:color w:val="334155"/>
          <w:sz w:val="21"/>
          <w:szCs w:val="21"/>
        </w:rPr>
        <w:t xml:space="preserve">Reviews on social platforms are unverified and easily faked; owners cannot reliably distinguish good providers from bad ones.</w:t>
      </w:r>
    </w:p>
    <w:p>
      <w:pPr>
        <w:pStyle w:val="ListParagraph"/>
        <w:numPr>
          <w:ilvl w:val="0"/>
          <w:numId w:val="2"/>
        </w:numPr>
        <w:spacing w:after="80" w:line="272"/>
      </w:pPr>
      <w:r>
        <w:rPr>
          <w:b/>
          <w:bCs/>
          <w:color w:val="334155"/>
          <w:sz w:val="21"/>
          <w:szCs w:val="21"/>
        </w:rPr>
        <w:t xml:space="preserve">Uneven access. </w:t>
      </w:r>
      <w:r>
        <w:rPr>
          <w:color w:val="334155"/>
          <w:sz w:val="21"/>
          <w:szCs w:val="21"/>
        </w:rPr>
        <w:t xml:space="preserve">Access to organised veterinary and professional pet care thins out quickly beyond metros, even as ownership rises in Tier-2 and Tier-3 cities.</w:t>
      </w:r>
    </w:p>
    <w:p>
      <w:pPr>
        <w:spacing w:after="120" w:line="276"/>
      </w:pPr>
      <w:r>
        <w:rPr>
          <w:color w:val="334155"/>
          <w:sz w:val="21"/>
          <w:szCs w:val="21"/>
        </w:rPr>
        <w:t xml:space="preserve">For providers, the mirror problem exists: skilled independent professionals lack a low-cost channel to build a verifiable reputation, reach nearby customers, and manage bookings without manual coordination.</w:t>
      </w:r>
    </w:p>
    <w:p>
      <w:pPr>
        <w:pStyle w:val="Heading1"/>
        <w:spacing w:after="160" w:before="340"/>
      </w:pPr>
      <w:r>
        <w:rPr>
          <w:b/>
          <w:bCs/>
          <w:color w:val="1F3A5F"/>
          <w:sz w:val="30"/>
          <w:szCs w:val="30"/>
        </w:rPr>
        <w:t xml:space="preserve">3. Business Objectives</w:t>
      </w:r>
    </w:p>
    <w:p>
      <w:pPr>
        <w:pBdr>
          <w:bottom w:val="single" w:color="2A9D8F" w:sz="6"/>
        </w:pBdr>
        <w:spacing w:after="160" w:before="60"/>
      </w:pPr>
    </w:p>
    <w:p>
      <w:pPr>
        <w:spacing w:after="120" w:line="276"/>
      </w:pPr>
      <w:r>
        <w:rPr>
          <w:color w:val="334155"/>
          <w:sz w:val="21"/>
          <w:szCs w:val="21"/>
        </w:rPr>
        <w:t xml:space="preserve">The MVP pursues the following objectives. Each is framed to be specific and measurable; corresponding targets appear in Section 8.</w:t>
      </w:r>
    </w:p>
    <w:p>
      <w:pPr>
        <w:pStyle w:val="ListParagraph"/>
        <w:numPr>
          <w:ilvl w:val="0"/>
          <w:numId w:val="3"/>
        </w:numPr>
        <w:spacing w:after="80" w:line="272"/>
      </w:pPr>
      <w:r>
        <w:rPr>
          <w:b/>
          <w:bCs/>
          <w:color w:val="1F3A5F"/>
          <w:sz w:val="21"/>
          <w:szCs w:val="21"/>
        </w:rPr>
        <w:t xml:space="preserve">Build trust as the core product. </w:t>
      </w:r>
      <w:r>
        <w:rPr>
          <w:color w:val="334155"/>
          <w:sz w:val="21"/>
          <w:szCs w:val="21"/>
        </w:rPr>
        <w:t xml:space="preserve">Establish a verified two-sided marketplace in which every Pet Buddy is KYC-verified before becoming bookable, making trust the platform's primary differentiator.</w:t>
      </w:r>
    </w:p>
    <w:p>
      <w:pPr>
        <w:pStyle w:val="ListParagraph"/>
        <w:numPr>
          <w:ilvl w:val="0"/>
          <w:numId w:val="3"/>
        </w:numPr>
        <w:spacing w:after="80" w:line="272"/>
      </w:pPr>
      <w:r>
        <w:rPr>
          <w:b/>
          <w:bCs/>
          <w:color w:val="1F3A5F"/>
          <w:sz w:val="21"/>
          <w:szCs w:val="21"/>
        </w:rPr>
        <w:t xml:space="preserve">Consolidate fragmented supply. </w:t>
      </w:r>
      <w:r>
        <w:rPr>
          <w:color w:val="334155"/>
          <w:sz w:val="21"/>
          <w:szCs w:val="21"/>
        </w:rPr>
        <w:t xml:space="preserve">Aggregate the six MVP services into one role-based app so a Pet Parent can discover, filter, and book nearby verified providers in a few taps.</w:t>
      </w:r>
    </w:p>
    <w:p>
      <w:pPr>
        <w:pStyle w:val="ListParagraph"/>
        <w:numPr>
          <w:ilvl w:val="0"/>
          <w:numId w:val="3"/>
        </w:numPr>
        <w:spacing w:after="80" w:line="272"/>
      </w:pPr>
      <w:r>
        <w:rPr>
          <w:b/>
          <w:bCs/>
          <w:color w:val="1F3A5F"/>
          <w:sz w:val="21"/>
          <w:szCs w:val="21"/>
        </w:rPr>
        <w:t xml:space="preserve">Standardise the service workflow. </w:t>
      </w:r>
      <w:r>
        <w:rPr>
          <w:color w:val="334155"/>
          <w:sz w:val="21"/>
          <w:szCs w:val="21"/>
        </w:rPr>
        <w:t xml:space="preserve">Enforce a consistent booking lifecycle with two-step OTP validation and an auditable record for every service, reducing no-shows and disputes.</w:t>
      </w:r>
    </w:p>
    <w:p>
      <w:pPr>
        <w:pStyle w:val="ListParagraph"/>
        <w:numPr>
          <w:ilvl w:val="0"/>
          <w:numId w:val="3"/>
        </w:numPr>
        <w:spacing w:after="80" w:line="272"/>
      </w:pPr>
      <w:r>
        <w:rPr>
          <w:b/>
          <w:bCs/>
          <w:color w:val="1F3A5F"/>
          <w:sz w:val="21"/>
          <w:szCs w:val="21"/>
        </w:rPr>
        <w:t xml:space="preserve">Reach marketplace liquidity. </w:t>
      </w:r>
      <w:r>
        <w:rPr>
          <w:color w:val="334155"/>
          <w:sz w:val="21"/>
          <w:szCs w:val="21"/>
        </w:rPr>
        <w:t xml:space="preserve">Achieve enough active providers and customers in the launch geography (West India / Maharashtra) to sustain repeatable, organic booking volume.</w:t>
      </w:r>
    </w:p>
    <w:p>
      <w:pPr>
        <w:pStyle w:val="ListParagraph"/>
        <w:numPr>
          <w:ilvl w:val="0"/>
          <w:numId w:val="3"/>
        </w:numPr>
        <w:spacing w:after="80" w:line="272"/>
      </w:pPr>
      <w:r>
        <w:rPr>
          <w:b/>
          <w:bCs/>
          <w:color w:val="1F3A5F"/>
          <w:sz w:val="21"/>
          <w:szCs w:val="21"/>
        </w:rPr>
        <w:t xml:space="preserve">Validate cheaply. </w:t>
      </w:r>
      <w:r>
        <w:rPr>
          <w:color w:val="334155"/>
          <w:sz w:val="21"/>
          <w:szCs w:val="21"/>
        </w:rPr>
        <w:t xml:space="preserve">Ship a lean, low-cost MVP on Supabase and a cross-platform frontend, deferring payments and commission to a later phase to minimise cost and regulatory exposure.</w:t>
      </w:r>
    </w:p>
    <w:p>
      <w:pPr>
        <w:pStyle w:val="ListParagraph"/>
        <w:numPr>
          <w:ilvl w:val="0"/>
          <w:numId w:val="3"/>
        </w:numPr>
        <w:spacing w:after="80" w:line="272"/>
      </w:pPr>
      <w:r>
        <w:rPr>
          <w:b/>
          <w:bCs/>
          <w:color w:val="1F3A5F"/>
          <w:sz w:val="21"/>
          <w:szCs w:val="21"/>
        </w:rPr>
        <w:t xml:space="preserve">Create a path to revenue. </w:t>
      </w:r>
      <w:r>
        <w:rPr>
          <w:color w:val="334155"/>
          <w:sz w:val="21"/>
          <w:szCs w:val="21"/>
        </w:rPr>
        <w:t xml:space="preserve">Reserve architectural and product integration points for future monetisation (in-app payments, commission) and expansion services, so growth does not require redesign.</w:t>
      </w:r>
    </w:p>
    <w:p>
      <w:pPr>
        <w:pStyle w:val="Heading1"/>
        <w:spacing w:after="160" w:before="340"/>
      </w:pPr>
      <w:r>
        <w:rPr>
          <w:b/>
          <w:bCs/>
          <w:color w:val="1F3A5F"/>
          <w:sz w:val="30"/>
          <w:szCs w:val="30"/>
        </w:rPr>
        <w:t xml:space="preserve">4. Project Scope</w:t>
      </w:r>
    </w:p>
    <w:p>
      <w:pPr>
        <w:pBdr>
          <w:bottom w:val="single" w:color="2A9D8F" w:sz="6"/>
        </w:pBdr>
        <w:spacing w:after="160" w:before="60"/>
      </w:pPr>
    </w:p>
    <w:p>
      <w:pPr>
        <w:pStyle w:val="Heading2"/>
        <w:spacing w:after="120" w:before="240"/>
      </w:pPr>
      <w:r>
        <w:rPr>
          <w:b/>
          <w:bCs/>
          <w:color w:val="2A9D8F"/>
          <w:sz w:val="24"/>
          <w:szCs w:val="24"/>
        </w:rPr>
        <w:t xml:space="preserve">4.1 In Scope (MVP)</w:t>
      </w:r>
    </w:p>
    <w:p>
      <w:pPr>
        <w:pStyle w:val="ListParagraph"/>
        <w:numPr>
          <w:ilvl w:val="0"/>
          <w:numId w:val="2"/>
        </w:numPr>
        <w:spacing w:after="80" w:line="272"/>
      </w:pPr>
      <w:r>
        <w:rPr>
          <w:color w:val="334155"/>
          <w:sz w:val="21"/>
          <w:szCs w:val="21"/>
        </w:rPr>
        <w:t xml:space="preserve">Single cross-platform app (Android + iOS) with role-based navigation for Pet Parent and Pet Buddy.</w:t>
      </w:r>
    </w:p>
    <w:p>
      <w:pPr>
        <w:pStyle w:val="ListParagraph"/>
        <w:numPr>
          <w:ilvl w:val="0"/>
          <w:numId w:val="2"/>
        </w:numPr>
        <w:spacing w:after="80" w:line="272"/>
      </w:pPr>
      <w:r>
        <w:rPr>
          <w:color w:val="334155"/>
          <w:sz w:val="21"/>
          <w:szCs w:val="21"/>
        </w:rPr>
        <w:t xml:space="preserve">Six services: Veterinary Consultation, Dog Walking, Grooming, Training, Boarding, Pet Taxi.</w:t>
      </w:r>
    </w:p>
    <w:p>
      <w:pPr>
        <w:pStyle w:val="ListParagraph"/>
        <w:numPr>
          <w:ilvl w:val="0"/>
          <w:numId w:val="2"/>
        </w:numPr>
        <w:spacing w:after="80" w:line="272"/>
      </w:pPr>
      <w:r>
        <w:rPr>
          <w:color w:val="334155"/>
          <w:sz w:val="21"/>
          <w:szCs w:val="21"/>
        </w:rPr>
        <w:t xml:space="preserve">Provider onboarding with KYC (government-ID) verification and administrative approval.</w:t>
      </w:r>
    </w:p>
    <w:p>
      <w:pPr>
        <w:pStyle w:val="ListParagraph"/>
        <w:numPr>
          <w:ilvl w:val="0"/>
          <w:numId w:val="2"/>
        </w:numPr>
        <w:spacing w:after="80" w:line="272"/>
      </w:pPr>
      <w:r>
        <w:rPr>
          <w:color w:val="334155"/>
          <w:sz w:val="21"/>
          <w:szCs w:val="21"/>
        </w:rPr>
        <w:t xml:space="preserve">Pet-profile management (species, breed, age, medical notes, allergies, vaccination status, aggression/bite history).</w:t>
      </w:r>
    </w:p>
    <w:p>
      <w:pPr>
        <w:pStyle w:val="ListParagraph"/>
        <w:numPr>
          <w:ilvl w:val="0"/>
          <w:numId w:val="2"/>
        </w:numPr>
        <w:spacing w:after="80" w:line="272"/>
      </w:pPr>
      <w:r>
        <w:rPr>
          <w:color w:val="334155"/>
          <w:sz w:val="21"/>
          <w:szCs w:val="21"/>
        </w:rPr>
        <w:t xml:space="preserve">Location-based discovery, filtering, and provider profiles with verified reviews.</w:t>
      </w:r>
    </w:p>
    <w:p>
      <w:pPr>
        <w:pStyle w:val="ListParagraph"/>
        <w:numPr>
          <w:ilvl w:val="0"/>
          <w:numId w:val="2"/>
        </w:numPr>
        <w:spacing w:after="80" w:line="272"/>
      </w:pPr>
      <w:r>
        <w:rPr>
          <w:color w:val="334155"/>
          <w:sz w:val="21"/>
          <w:szCs w:val="21"/>
        </w:rPr>
        <w:t xml:space="preserve">Full booking lifecycle with two-step (start + completion) OTP validation and audit trail.</w:t>
      </w:r>
    </w:p>
    <w:p>
      <w:pPr>
        <w:pStyle w:val="ListParagraph"/>
        <w:numPr>
          <w:ilvl w:val="0"/>
          <w:numId w:val="2"/>
        </w:numPr>
        <w:spacing w:after="80" w:line="272"/>
      </w:pPr>
      <w:r>
        <w:rPr>
          <w:color w:val="334155"/>
          <w:sz w:val="21"/>
          <w:szCs w:val="21"/>
        </w:rPr>
        <w:t xml:space="preserve">In-app chat, multi-channel notifications, and two-sided reviews with a blind-review window.</w:t>
      </w:r>
    </w:p>
    <w:p>
      <w:pPr>
        <w:pStyle w:val="ListParagraph"/>
        <w:numPr>
          <w:ilvl w:val="0"/>
          <w:numId w:val="2"/>
        </w:numPr>
        <w:spacing w:after="80" w:line="272"/>
      </w:pPr>
      <w:r>
        <w:rPr>
          <w:color w:val="334155"/>
          <w:sz w:val="21"/>
          <w:szCs w:val="21"/>
        </w:rPr>
        <w:t xml:space="preserve">Administrative portal for KYC review, moderation, incident handling, and analytics.</w:t>
      </w:r>
    </w:p>
    <w:p>
      <w:pPr>
        <w:pStyle w:val="Heading2"/>
        <w:spacing w:after="120" w:before="240"/>
      </w:pPr>
      <w:r>
        <w:rPr>
          <w:b/>
          <w:bCs/>
          <w:color w:val="2A9D8F"/>
          <w:sz w:val="24"/>
          <w:szCs w:val="24"/>
        </w:rPr>
        <w:t xml:space="preserve">4.2 Out of Scope (MVP — Deferred to Later Phases)</w:t>
      </w:r>
    </w:p>
    <w:p>
      <w:pPr>
        <w:pStyle w:val="ListParagraph"/>
        <w:numPr>
          <w:ilvl w:val="0"/>
          <w:numId w:val="2"/>
        </w:numPr>
        <w:spacing w:after="80" w:line="272"/>
      </w:pPr>
      <w:r>
        <w:rPr>
          <w:color w:val="334155"/>
          <w:sz w:val="21"/>
          <w:szCs w:val="21"/>
        </w:rPr>
        <w:t xml:space="preserve">In-app payments, wallet, escrow, and platform commission (settlement is direct between parties in Phase 1).</w:t>
      </w:r>
    </w:p>
    <w:p>
      <w:pPr>
        <w:pStyle w:val="ListParagraph"/>
        <w:numPr>
          <w:ilvl w:val="0"/>
          <w:numId w:val="2"/>
        </w:numPr>
        <w:spacing w:after="80" w:line="272"/>
      </w:pPr>
      <w:r>
        <w:rPr>
          <w:color w:val="334155"/>
          <w:sz w:val="21"/>
          <w:szCs w:val="21"/>
        </w:rPr>
        <w:t xml:space="preserve">Pet e-commerce, food/medicine delivery, telemedicine, insurance marketplace, and subscriptions.</w:t>
      </w:r>
    </w:p>
    <w:p>
      <w:pPr>
        <w:pStyle w:val="ListParagraph"/>
        <w:numPr>
          <w:ilvl w:val="0"/>
          <w:numId w:val="2"/>
        </w:numPr>
        <w:spacing w:after="80" w:line="272"/>
      </w:pPr>
      <w:r>
        <w:rPr>
          <w:color w:val="334155"/>
          <w:sz w:val="21"/>
          <w:szCs w:val="21"/>
        </w:rPr>
        <w:t xml:space="preserve">AI pet assistant, wearable-device integration, and community/social features.</w:t>
      </w:r>
    </w:p>
    <w:p>
      <w:pPr>
        <w:pStyle w:val="ListParagraph"/>
        <w:numPr>
          <w:ilvl w:val="0"/>
          <w:numId w:val="2"/>
        </w:numPr>
        <w:spacing w:after="80" w:line="272"/>
      </w:pPr>
      <w:r>
        <w:rPr>
          <w:color w:val="334155"/>
          <w:sz w:val="21"/>
          <w:szCs w:val="21"/>
        </w:rPr>
        <w:t xml:space="preserve">Simultaneous dual-role operation for a single account (“both” role) beyond the defined MVP behaviour.</w:t>
      </w:r>
    </w:p>
    <w:p>
      <w:pPr>
        <w:pStyle w:val="Heading1"/>
        <w:spacing w:after="160" w:before="340"/>
      </w:pPr>
      <w:r>
        <w:rPr>
          <w:b/>
          <w:bCs/>
          <w:color w:val="1F3A5F"/>
          <w:sz w:val="30"/>
          <w:szCs w:val="30"/>
        </w:rPr>
        <w:t xml:space="preserve">5. Target Audience</w:t>
      </w:r>
    </w:p>
    <w:p>
      <w:pPr>
        <w:pBdr>
          <w:bottom w:val="single" w:color="2A9D8F" w:sz="6"/>
        </w:pBdr>
        <w:spacing w:after="160" w:before="60"/>
      </w:pPr>
    </w:p>
    <w:p>
      <w:pPr>
        <w:spacing w:after="120" w:line="276"/>
      </w:pPr>
      <w:r>
        <w:rPr>
          <w:color w:val="334155"/>
          <w:sz w:val="21"/>
          <w:szCs w:val="21"/>
        </w:rPr>
        <w:t xml:space="preserve">The platform serves two primary user groups plus an internal operator group, within a defined launch geography.</w:t>
      </w:r>
    </w:p>
    <w:p>
      <w:pPr>
        <w:pStyle w:val="Heading2"/>
        <w:spacing w:after="120" w:before="240"/>
      </w:pPr>
      <w:r>
        <w:rPr>
          <w:b/>
          <w:bCs/>
          <w:color w:val="2A9D8F"/>
          <w:sz w:val="24"/>
          <w:szCs w:val="24"/>
        </w:rPr>
        <w:t xml:space="preserve">5.1 Pet Parents (Demand Side)</w:t>
      </w:r>
    </w:p>
    <w:p>
      <w:pPr>
        <w:spacing w:after="120" w:line="276"/>
      </w:pPr>
      <w:r>
        <w:rPr>
          <w:color w:val="334155"/>
          <w:sz w:val="21"/>
          <w:szCs w:val="21"/>
        </w:rPr>
        <w:t xml:space="preserve">Urban and semi-urban pet owners, weighted toward first-time owners in the Gen Z and millennial cohort who expect app-based convenience. Representative segments:</w:t>
      </w:r>
    </w:p>
    <w:p>
      <w:pPr>
        <w:pStyle w:val="ListParagraph"/>
        <w:numPr>
          <w:ilvl w:val="0"/>
          <w:numId w:val="2"/>
        </w:numPr>
        <w:spacing w:after="80" w:line="272"/>
      </w:pPr>
      <w:r>
        <w:rPr>
          <w:b/>
          <w:bCs/>
          <w:color w:val="334155"/>
          <w:sz w:val="21"/>
          <w:szCs w:val="21"/>
        </w:rPr>
        <w:t xml:space="preserve">Time-poor professionals. </w:t>
      </w:r>
      <w:r>
        <w:rPr>
          <w:color w:val="334155"/>
          <w:sz w:val="21"/>
          <w:szCs w:val="21"/>
        </w:rPr>
        <w:t xml:space="preserve">Working professionals and dual-income households who need reliable walking, grooming, and daycare/boarding while managing busy schedules.</w:t>
      </w:r>
    </w:p>
    <w:p>
      <w:pPr>
        <w:pStyle w:val="ListParagraph"/>
        <w:numPr>
          <w:ilvl w:val="0"/>
          <w:numId w:val="2"/>
        </w:numPr>
        <w:spacing w:after="80" w:line="272"/>
      </w:pPr>
      <w:r>
        <w:rPr>
          <w:b/>
          <w:bCs/>
          <w:color w:val="334155"/>
          <w:sz w:val="21"/>
          <w:szCs w:val="21"/>
        </w:rPr>
        <w:t xml:space="preserve">First-time pet parents. </w:t>
      </w:r>
      <w:r>
        <w:rPr>
          <w:color w:val="334155"/>
          <w:sz w:val="21"/>
          <w:szCs w:val="21"/>
        </w:rPr>
        <w:t xml:space="preserve">Owners of a first pet who lack an established network of trusted vets, groomers, or trainers and rely on discovery and reviews.</w:t>
      </w:r>
    </w:p>
    <w:p>
      <w:pPr>
        <w:pStyle w:val="ListParagraph"/>
        <w:numPr>
          <w:ilvl w:val="0"/>
          <w:numId w:val="2"/>
        </w:numPr>
        <w:spacing w:after="80" w:line="272"/>
      </w:pPr>
      <w:r>
        <w:rPr>
          <w:b/>
          <w:bCs/>
          <w:color w:val="334155"/>
          <w:sz w:val="21"/>
          <w:szCs w:val="21"/>
        </w:rPr>
        <w:t xml:space="preserve">Frequent travellers. </w:t>
      </w:r>
      <w:r>
        <w:rPr>
          <w:color w:val="334155"/>
          <w:sz w:val="21"/>
          <w:szCs w:val="21"/>
        </w:rPr>
        <w:t xml:space="preserve">Owners who need dependable boarding, pet taxi, and emergency-adjacent access when travelling or relocating.</w:t>
      </w:r>
    </w:p>
    <w:p>
      <w:pPr>
        <w:pStyle w:val="ListParagraph"/>
        <w:numPr>
          <w:ilvl w:val="0"/>
          <w:numId w:val="2"/>
        </w:numPr>
        <w:spacing w:after="80" w:line="272"/>
      </w:pPr>
      <w:r>
        <w:rPr>
          <w:b/>
          <w:bCs/>
          <w:color w:val="334155"/>
          <w:sz w:val="21"/>
          <w:szCs w:val="21"/>
        </w:rPr>
        <w:t xml:space="preserve">Convenience seekers. </w:t>
      </w:r>
      <w:r>
        <w:rPr>
          <w:color w:val="334155"/>
          <w:sz w:val="21"/>
          <w:szCs w:val="21"/>
        </w:rPr>
        <w:t xml:space="preserve">Elderly owners and families who value verified, at-home service and simple booking flows.</w:t>
      </w:r>
    </w:p>
    <w:p>
      <w:pPr>
        <w:pStyle w:val="Heading2"/>
        <w:spacing w:after="120" w:before="240"/>
      </w:pPr>
      <w:r>
        <w:rPr>
          <w:b/>
          <w:bCs/>
          <w:color w:val="2A9D8F"/>
          <w:sz w:val="24"/>
          <w:szCs w:val="24"/>
        </w:rPr>
        <w:t xml:space="preserve">5.2 Pet Buddies (Supply Side)</w:t>
      </w:r>
    </w:p>
    <w:p>
      <w:pPr>
        <w:spacing w:after="120" w:line="276"/>
      </w:pPr>
      <w:r>
        <w:rPr>
          <w:color w:val="334155"/>
          <w:sz w:val="21"/>
          <w:szCs w:val="21"/>
        </w:rPr>
        <w:t xml:space="preserve">Independent, skilled pet-care professionals seeking a low-cost channel to reach nearby customers and build a verifiable reputation:</w:t>
      </w:r>
    </w:p>
    <w:p>
      <w:pPr>
        <w:pStyle w:val="ListParagraph"/>
        <w:numPr>
          <w:ilvl w:val="0"/>
          <w:numId w:val="2"/>
        </w:numPr>
        <w:spacing w:after="80" w:line="272"/>
      </w:pPr>
      <w:r>
        <w:rPr>
          <w:color w:val="334155"/>
          <w:sz w:val="21"/>
          <w:szCs w:val="21"/>
        </w:rPr>
        <w:t xml:space="preserve">Veterinarians, groomers, dog walkers, trainers, boarding/day-care providers, and pet-taxi operators.</w:t>
      </w:r>
    </w:p>
    <w:p>
      <w:pPr>
        <w:pStyle w:val="ListParagraph"/>
        <w:numPr>
          <w:ilvl w:val="0"/>
          <w:numId w:val="2"/>
        </w:numPr>
        <w:spacing w:after="80" w:line="272"/>
      </w:pPr>
      <w:r>
        <w:rPr>
          <w:color w:val="334155"/>
          <w:sz w:val="21"/>
          <w:szCs w:val="21"/>
        </w:rPr>
        <w:t xml:space="preserve">Solo practitioners and small local businesses currently dependent on referrals and social-media groups.</w:t>
      </w:r>
    </w:p>
    <w:p>
      <w:pPr>
        <w:pStyle w:val="ListParagraph"/>
        <w:numPr>
          <w:ilvl w:val="0"/>
          <w:numId w:val="2"/>
        </w:numPr>
        <w:spacing w:after="80" w:line="272"/>
      </w:pPr>
      <w:r>
        <w:rPr>
          <w:color w:val="334155"/>
          <w:sz w:val="21"/>
          <w:szCs w:val="21"/>
        </w:rPr>
        <w:t xml:space="preserve">Providers willing to complete KYC in exchange for verified visibility and structured booking management.</w:t>
      </w:r>
    </w:p>
    <w:p>
      <w:pPr>
        <w:pStyle w:val="Heading2"/>
        <w:spacing w:after="120" w:before="240"/>
      </w:pPr>
      <w:r>
        <w:rPr>
          <w:b/>
          <w:bCs/>
          <w:color w:val="2A9D8F"/>
          <w:sz w:val="24"/>
          <w:szCs w:val="24"/>
        </w:rPr>
        <w:t xml:space="preserve">5.3 Platform Administrators (Internal)</w:t>
      </w:r>
    </w:p>
    <w:p>
      <w:pPr>
        <w:pStyle w:val="ListParagraph"/>
        <w:numPr>
          <w:ilvl w:val="0"/>
          <w:numId w:val="2"/>
        </w:numPr>
        <w:spacing w:after="80" w:line="272"/>
      </w:pPr>
      <w:r>
        <w:rPr>
          <w:color w:val="334155"/>
          <w:sz w:val="21"/>
          <w:szCs w:val="21"/>
        </w:rPr>
        <w:t xml:space="preserve">Trust &amp; Safety, KYC reviewers, support, and operations staff who approve providers, moderate content, investigate incidents, and monitor platform health.</w:t>
      </w:r>
    </w:p>
    <w:p>
      <w:pPr>
        <w:pStyle w:val="Heading2"/>
        <w:spacing w:after="120" w:before="240"/>
      </w:pPr>
      <w:r>
        <w:rPr>
          <w:b/>
          <w:bCs/>
          <w:color w:val="2A9D8F"/>
          <w:sz w:val="24"/>
          <w:szCs w:val="24"/>
        </w:rPr>
        <w:t xml:space="preserve">5.4 Geographic Focus</w:t>
      </w:r>
    </w:p>
    <w:p>
      <w:pPr>
        <w:spacing w:after="120" w:line="276"/>
      </w:pPr>
      <w:r>
        <w:rPr>
          <w:color w:val="334155"/>
          <w:sz w:val="21"/>
          <w:szCs w:val="21"/>
        </w:rPr>
        <w:t xml:space="preserve">Launch is concentrated in West India (Maharashtra — Mumbai, Pune, and surrounding urban clusters), the country's second-largest pet-care hub, before expanding to other Tier-1 and Tier-2 metros. Concentrating supply and demand in one dense geography is essential to reaching marketplace liquidity.</w:t>
      </w:r>
    </w:p>
    <w:p>
      <w:pPr>
        <w:pStyle w:val="Heading1"/>
        <w:spacing w:after="160" w:before="340"/>
      </w:pPr>
      <w:r>
        <w:rPr>
          <w:b/>
          <w:bCs/>
          <w:color w:val="1F3A5F"/>
          <w:sz w:val="30"/>
          <w:szCs w:val="30"/>
        </w:rPr>
        <w:t xml:space="preserve">6. Stakeholders</w:t>
      </w:r>
    </w:p>
    <w:p>
      <w:pPr>
        <w:pBdr>
          <w:bottom w:val="single" w:color="2A9D8F" w:sz="6"/>
        </w:pBdr>
        <w:spacing w:after="160" w:before="6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3300"/>
        <w:gridCol w:w="3460"/>
      </w:tblGrid>
      <w:tr>
        <w:trPr>
          <w:tblHeader/>
        </w:trPr>
        <w:tc>
          <w:tcPr>
            <w:tcW w:type="dxa" w:w="26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Stakeholder</w:t>
            </w:r>
          </w:p>
        </w:tc>
        <w:tc>
          <w:tcPr>
            <w:tcW w:type="dxa" w:w="33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Interest</w:t>
            </w:r>
          </w:p>
        </w:tc>
        <w:tc>
          <w:tcPr>
            <w:tcW w:type="dxa" w:w="346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Primary Concern</w:t>
            </w:r>
          </w:p>
        </w:tc>
      </w:tr>
      <w:tr>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Pet Parents</w:t>
            </w:r>
          </w:p>
        </w:tc>
        <w:tc>
          <w:tcPr>
            <w:tcW w:type="dxa" w:w="3300"/>
            <w:shd w:fill="FFFFFF" w:color="auto" w:val="clear"/>
            <w:tcMar>
              <w:top w:type="dxa" w:w="70"/>
              <w:left w:type="dxa" w:w="110"/>
              <w:bottom w:type="dxa" w:w="70"/>
              <w:right w:type="dxa" w:w="110"/>
            </w:tcMar>
            <w:vAlign w:val="center"/>
          </w:tcPr>
          <w:p>
            <w:pPr>
              <w:spacing w:after="0" w:line="264"/>
            </w:pPr>
            <w:r>
              <w:rPr>
                <w:color w:val="334155"/>
                <w:sz w:val="19"/>
                <w:szCs w:val="19"/>
              </w:rPr>
              <w:t xml:space="preserve">Convenient, safe, verified pet care</w:t>
            </w:r>
          </w:p>
        </w:tc>
        <w:tc>
          <w:tcPr>
            <w:tcW w:type="dxa" w:w="3460"/>
            <w:shd w:fill="FFFFFF" w:color="auto" w:val="clear"/>
            <w:tcMar>
              <w:top w:type="dxa" w:w="70"/>
              <w:left w:type="dxa" w:w="110"/>
              <w:bottom w:type="dxa" w:w="70"/>
              <w:right w:type="dxa" w:w="110"/>
            </w:tcMar>
            <w:vAlign w:val="center"/>
          </w:tcPr>
          <w:p>
            <w:pPr>
              <w:spacing w:after="0" w:line="264"/>
            </w:pPr>
            <w:r>
              <w:rPr>
                <w:color w:val="334155"/>
                <w:sz w:val="19"/>
                <w:szCs w:val="19"/>
              </w:rPr>
              <w:t xml:space="preserve">Trust, safety, reliability, ease of use</w:t>
            </w:r>
          </w:p>
        </w:tc>
      </w:tr>
      <w:tr>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Pet Buddies</w:t>
            </w:r>
          </w:p>
        </w:tc>
        <w:tc>
          <w:tcPr>
            <w:tcW w:type="dxa" w:w="3300"/>
            <w:shd w:fill="EEF2F6" w:color="auto" w:val="clear"/>
            <w:tcMar>
              <w:top w:type="dxa" w:w="70"/>
              <w:left w:type="dxa" w:w="110"/>
              <w:bottom w:type="dxa" w:w="70"/>
              <w:right w:type="dxa" w:w="110"/>
            </w:tcMar>
            <w:vAlign w:val="center"/>
          </w:tcPr>
          <w:p>
            <w:pPr>
              <w:spacing w:after="0" w:line="264"/>
            </w:pPr>
            <w:r>
              <w:rPr>
                <w:color w:val="334155"/>
                <w:sz w:val="19"/>
                <w:szCs w:val="19"/>
              </w:rPr>
              <w:t xml:space="preserve">Customer reach and reputation</w:t>
            </w:r>
          </w:p>
        </w:tc>
        <w:tc>
          <w:tcPr>
            <w:tcW w:type="dxa" w:w="3460"/>
            <w:shd w:fill="EEF2F6" w:color="auto" w:val="clear"/>
            <w:tcMar>
              <w:top w:type="dxa" w:w="70"/>
              <w:left w:type="dxa" w:w="110"/>
              <w:bottom w:type="dxa" w:w="70"/>
              <w:right w:type="dxa" w:w="110"/>
            </w:tcMar>
            <w:vAlign w:val="center"/>
          </w:tcPr>
          <w:p>
            <w:pPr>
              <w:spacing w:after="0" w:line="264"/>
            </w:pPr>
            <w:r>
              <w:rPr>
                <w:color w:val="334155"/>
                <w:sz w:val="19"/>
                <w:szCs w:val="19"/>
              </w:rPr>
              <w:t xml:space="preserve">Fair visibility, low friction, steady bookings</w:t>
            </w:r>
          </w:p>
        </w:tc>
      </w:tr>
      <w:tr>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Platform Owner / Founders</w:t>
            </w:r>
          </w:p>
        </w:tc>
        <w:tc>
          <w:tcPr>
            <w:tcW w:type="dxa" w:w="3300"/>
            <w:shd w:fill="FFFFFF" w:color="auto" w:val="clear"/>
            <w:tcMar>
              <w:top w:type="dxa" w:w="70"/>
              <w:left w:type="dxa" w:w="110"/>
              <w:bottom w:type="dxa" w:w="70"/>
              <w:right w:type="dxa" w:w="110"/>
            </w:tcMar>
            <w:vAlign w:val="center"/>
          </w:tcPr>
          <w:p>
            <w:pPr>
              <w:spacing w:after="0" w:line="264"/>
            </w:pPr>
            <w:r>
              <w:rPr>
                <w:color w:val="334155"/>
                <w:sz w:val="19"/>
                <w:szCs w:val="19"/>
              </w:rPr>
              <w:t xml:space="preserve">Viable, scalable business</w:t>
            </w:r>
          </w:p>
        </w:tc>
        <w:tc>
          <w:tcPr>
            <w:tcW w:type="dxa" w:w="3460"/>
            <w:shd w:fill="FFFFFF" w:color="auto" w:val="clear"/>
            <w:tcMar>
              <w:top w:type="dxa" w:w="70"/>
              <w:left w:type="dxa" w:w="110"/>
              <w:bottom w:type="dxa" w:w="70"/>
              <w:right w:type="dxa" w:w="110"/>
            </w:tcMar>
            <w:vAlign w:val="center"/>
          </w:tcPr>
          <w:p>
            <w:pPr>
              <w:spacing w:after="0" w:line="264"/>
            </w:pPr>
            <w:r>
              <w:rPr>
                <w:color w:val="334155"/>
                <w:sz w:val="19"/>
                <w:szCs w:val="19"/>
              </w:rPr>
              <w:t xml:space="preserve">Adoption, liquidity, path to revenue</w:t>
            </w:r>
          </w:p>
        </w:tc>
      </w:tr>
      <w:tr>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Trust &amp; Safety / Ops</w:t>
            </w:r>
          </w:p>
        </w:tc>
        <w:tc>
          <w:tcPr>
            <w:tcW w:type="dxa" w:w="3300"/>
            <w:shd w:fill="EEF2F6" w:color="auto" w:val="clear"/>
            <w:tcMar>
              <w:top w:type="dxa" w:w="70"/>
              <w:left w:type="dxa" w:w="110"/>
              <w:bottom w:type="dxa" w:w="70"/>
              <w:right w:type="dxa" w:w="110"/>
            </w:tcMar>
            <w:vAlign w:val="center"/>
          </w:tcPr>
          <w:p>
            <w:pPr>
              <w:spacing w:after="0" w:line="264"/>
            </w:pPr>
            <w:r>
              <w:rPr>
                <w:color w:val="334155"/>
                <w:sz w:val="19"/>
                <w:szCs w:val="19"/>
              </w:rPr>
              <w:t xml:space="preserve">Safe, compliant marketplace</w:t>
            </w:r>
          </w:p>
        </w:tc>
        <w:tc>
          <w:tcPr>
            <w:tcW w:type="dxa" w:w="3460"/>
            <w:shd w:fill="EEF2F6" w:color="auto" w:val="clear"/>
            <w:tcMar>
              <w:top w:type="dxa" w:w="70"/>
              <w:left w:type="dxa" w:w="110"/>
              <w:bottom w:type="dxa" w:w="70"/>
              <w:right w:type="dxa" w:w="110"/>
            </w:tcMar>
            <w:vAlign w:val="center"/>
          </w:tcPr>
          <w:p>
            <w:pPr>
              <w:spacing w:after="0" w:line="264"/>
            </w:pPr>
            <w:r>
              <w:rPr>
                <w:color w:val="334155"/>
                <w:sz w:val="19"/>
                <w:szCs w:val="19"/>
              </w:rPr>
              <w:t xml:space="preserve">KYC integrity, incident handling, moderation</w:t>
            </w:r>
          </w:p>
        </w:tc>
      </w:tr>
      <w:tr>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Engineering (CTO/CIO)</w:t>
            </w:r>
          </w:p>
        </w:tc>
        <w:tc>
          <w:tcPr>
            <w:tcW w:type="dxa" w:w="3300"/>
            <w:shd w:fill="FFFFFF" w:color="auto" w:val="clear"/>
            <w:tcMar>
              <w:top w:type="dxa" w:w="70"/>
              <w:left w:type="dxa" w:w="110"/>
              <w:bottom w:type="dxa" w:w="70"/>
              <w:right w:type="dxa" w:w="110"/>
            </w:tcMar>
            <w:vAlign w:val="center"/>
          </w:tcPr>
          <w:p>
            <w:pPr>
              <w:spacing w:after="0" w:line="264"/>
            </w:pPr>
            <w:r>
              <w:rPr>
                <w:color w:val="334155"/>
                <w:sz w:val="19"/>
                <w:szCs w:val="19"/>
              </w:rPr>
              <w:t xml:space="preserve">Lean, scalable, secure build</w:t>
            </w:r>
          </w:p>
        </w:tc>
        <w:tc>
          <w:tcPr>
            <w:tcW w:type="dxa" w:w="3460"/>
            <w:shd w:fill="FFFFFF" w:color="auto" w:val="clear"/>
            <w:tcMar>
              <w:top w:type="dxa" w:w="70"/>
              <w:left w:type="dxa" w:w="110"/>
              <w:bottom w:type="dxa" w:w="70"/>
              <w:right w:type="dxa" w:w="110"/>
            </w:tcMar>
            <w:vAlign w:val="center"/>
          </w:tcPr>
          <w:p>
            <w:pPr>
              <w:spacing w:after="0" w:line="264"/>
            </w:pPr>
            <w:r>
              <w:rPr>
                <w:color w:val="334155"/>
                <w:sz w:val="19"/>
                <w:szCs w:val="19"/>
              </w:rPr>
              <w:t xml:space="preserve">Cost control, security, maintainability</w:t>
            </w:r>
          </w:p>
        </w:tc>
      </w:tr>
      <w:tr>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QA</w:t>
            </w:r>
          </w:p>
        </w:tc>
        <w:tc>
          <w:tcPr>
            <w:tcW w:type="dxa" w:w="3300"/>
            <w:shd w:fill="EEF2F6" w:color="auto" w:val="clear"/>
            <w:tcMar>
              <w:top w:type="dxa" w:w="70"/>
              <w:left w:type="dxa" w:w="110"/>
              <w:bottom w:type="dxa" w:w="70"/>
              <w:right w:type="dxa" w:w="110"/>
            </w:tcMar>
            <w:vAlign w:val="center"/>
          </w:tcPr>
          <w:p>
            <w:pPr>
              <w:spacing w:after="0" w:line="264"/>
            </w:pPr>
            <w:r>
              <w:rPr>
                <w:color w:val="334155"/>
                <w:sz w:val="19"/>
                <w:szCs w:val="19"/>
              </w:rPr>
              <w:t xml:space="preserve">Reliable, defect-free releases</w:t>
            </w:r>
          </w:p>
        </w:tc>
        <w:tc>
          <w:tcPr>
            <w:tcW w:type="dxa" w:w="3460"/>
            <w:shd w:fill="EEF2F6" w:color="auto" w:val="clear"/>
            <w:tcMar>
              <w:top w:type="dxa" w:w="70"/>
              <w:left w:type="dxa" w:w="110"/>
              <w:bottom w:type="dxa" w:w="70"/>
              <w:right w:type="dxa" w:w="110"/>
            </w:tcMar>
            <w:vAlign w:val="center"/>
          </w:tcPr>
          <w:p>
            <w:pPr>
              <w:spacing w:after="0" w:line="264"/>
            </w:pPr>
            <w:r>
              <w:rPr>
                <w:color w:val="334155"/>
                <w:sz w:val="19"/>
                <w:szCs w:val="19"/>
              </w:rPr>
              <w:t xml:space="preserve">Test coverage, workflow correctness</w:t>
            </w:r>
          </w:p>
        </w:tc>
      </w:tr>
      <w:tr>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Regulators (indirect)</w:t>
            </w:r>
          </w:p>
        </w:tc>
        <w:tc>
          <w:tcPr>
            <w:tcW w:type="dxa" w:w="3300"/>
            <w:shd w:fill="FFFFFF" w:color="auto" w:val="clear"/>
            <w:tcMar>
              <w:top w:type="dxa" w:w="70"/>
              <w:left w:type="dxa" w:w="110"/>
              <w:bottom w:type="dxa" w:w="70"/>
              <w:right w:type="dxa" w:w="110"/>
            </w:tcMar>
            <w:vAlign w:val="center"/>
          </w:tcPr>
          <w:p>
            <w:pPr>
              <w:spacing w:after="0" w:line="264"/>
            </w:pPr>
            <w:r>
              <w:rPr>
                <w:color w:val="334155"/>
                <w:sz w:val="19"/>
                <w:szCs w:val="19"/>
              </w:rPr>
              <w:t xml:space="preserve">Consumer &amp; data protection</w:t>
            </w:r>
          </w:p>
        </w:tc>
        <w:tc>
          <w:tcPr>
            <w:tcW w:type="dxa" w:w="3460"/>
            <w:shd w:fill="FFFFFF" w:color="auto" w:val="clear"/>
            <w:tcMar>
              <w:top w:type="dxa" w:w="70"/>
              <w:left w:type="dxa" w:w="110"/>
              <w:bottom w:type="dxa" w:w="70"/>
              <w:right w:type="dxa" w:w="110"/>
            </w:tcMar>
            <w:vAlign w:val="center"/>
          </w:tcPr>
          <w:p>
            <w:pPr>
              <w:spacing w:after="0" w:line="264"/>
            </w:pPr>
            <w:r>
              <w:rPr>
                <w:color w:val="334155"/>
                <w:sz w:val="19"/>
                <w:szCs w:val="19"/>
              </w:rPr>
              <w:t xml:space="preserve">DPDP compliance, fair terms, safety</w:t>
            </w:r>
          </w:p>
        </w:tc>
      </w:tr>
    </w:tbl>
    <w:p>
      <w:r>
        <w:br w:type="page"/>
      </w:r>
    </w:p>
    <w:p>
      <w:pPr>
        <w:pStyle w:val="Heading1"/>
        <w:spacing w:after="160" w:before="340"/>
      </w:pPr>
      <w:r>
        <w:rPr>
          <w:b/>
          <w:bCs/>
          <w:color w:val="1F3A5F"/>
          <w:sz w:val="30"/>
          <w:szCs w:val="30"/>
        </w:rPr>
        <w:t xml:space="preserve">7. High-Level Business Requirements</w:t>
      </w:r>
    </w:p>
    <w:p>
      <w:pPr>
        <w:pBdr>
          <w:bottom w:val="single" w:color="2A9D8F" w:sz="6"/>
        </w:pBdr>
        <w:spacing w:after="160" w:before="60"/>
      </w:pPr>
    </w:p>
    <w:p>
      <w:pPr>
        <w:spacing w:after="120" w:line="276"/>
      </w:pPr>
      <w:r>
        <w:rPr>
          <w:color w:val="334155"/>
          <w:sz w:val="21"/>
          <w:szCs w:val="21"/>
        </w:rPr>
        <w:t xml:space="preserve">These are business-level requirements (what the business needs), not detailed functional specifications (which belong in the FRD). Each carries a unique identifier for traceability.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200"/>
        <w:gridCol w:w="6560"/>
        <w:gridCol w:w="1600"/>
      </w:tblGrid>
      <w:tr>
        <w:trPr>
          <w:tblHeader/>
        </w:trPr>
        <w:tc>
          <w:tcPr>
            <w:tcW w:type="dxa" w:w="12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ID</w:t>
            </w:r>
          </w:p>
        </w:tc>
        <w:tc>
          <w:tcPr>
            <w:tcW w:type="dxa" w:w="656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Requirement</w:t>
            </w:r>
          </w:p>
        </w:tc>
        <w:tc>
          <w:tcPr>
            <w:tcW w:type="dxa" w:w="16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Priority</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BR-01</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Every Pet Buddy must complete KYC (government-ID) verification and admin approval before becoming visible or bookable.</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EEF2F6" w:color="auto" w:val="clear"/>
            <w:tcMar>
              <w:top w:type="dxa" w:w="70"/>
              <w:left w:type="dxa" w:w="110"/>
              <w:bottom w:type="dxa" w:w="70"/>
              <w:right w:type="dxa" w:w="110"/>
            </w:tcMar>
            <w:vAlign w:val="center"/>
          </w:tcPr>
          <w:p>
            <w:pPr>
              <w:spacing w:after="0" w:line="264"/>
            </w:pPr>
            <w:r>
              <w:rPr>
                <w:color w:val="334155"/>
                <w:sz w:val="19"/>
                <w:szCs w:val="19"/>
              </w:rPr>
              <w:t xml:space="preserve">BR-02</w:t>
            </w:r>
          </w:p>
        </w:tc>
        <w:tc>
          <w:tcPr>
            <w:tcW w:type="dxa" w:w="6560"/>
            <w:shd w:fill="EEF2F6" w:color="auto" w:val="clear"/>
            <w:tcMar>
              <w:top w:type="dxa" w:w="70"/>
              <w:left w:type="dxa" w:w="110"/>
              <w:bottom w:type="dxa" w:w="70"/>
              <w:right w:type="dxa" w:w="110"/>
            </w:tcMar>
            <w:vAlign w:val="center"/>
          </w:tcPr>
          <w:p>
            <w:pPr>
              <w:spacing w:after="0" w:line="264"/>
            </w:pPr>
            <w:r>
              <w:rPr>
                <w:color w:val="334155"/>
                <w:sz w:val="19"/>
                <w:szCs w:val="19"/>
              </w:rPr>
              <w:t xml:space="preserve">The platform must support a single app with role-based navigation for Pet Parent and Pet Buddy.</w:t>
            </w:r>
          </w:p>
        </w:tc>
        <w:tc>
          <w:tcPr>
            <w:tcW w:type="dxa" w:w="1600"/>
            <w:shd w:fill="EEF2F6"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BR-03</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Pet Parents must be able to discover, filter, and compare nearby verified providers by service, location, availability, and rating.</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EEF2F6" w:color="auto" w:val="clear"/>
            <w:tcMar>
              <w:top w:type="dxa" w:w="70"/>
              <w:left w:type="dxa" w:w="110"/>
              <w:bottom w:type="dxa" w:w="70"/>
              <w:right w:type="dxa" w:w="110"/>
            </w:tcMar>
            <w:vAlign w:val="center"/>
          </w:tcPr>
          <w:p>
            <w:pPr>
              <w:spacing w:after="0" w:line="264"/>
            </w:pPr>
            <w:r>
              <w:rPr>
                <w:color w:val="334155"/>
                <w:sz w:val="19"/>
                <w:szCs w:val="19"/>
              </w:rPr>
              <w:t xml:space="preserve">BR-04</w:t>
            </w:r>
          </w:p>
        </w:tc>
        <w:tc>
          <w:tcPr>
            <w:tcW w:type="dxa" w:w="6560"/>
            <w:shd w:fill="EEF2F6" w:color="auto" w:val="clear"/>
            <w:tcMar>
              <w:top w:type="dxa" w:w="70"/>
              <w:left w:type="dxa" w:w="110"/>
              <w:bottom w:type="dxa" w:w="70"/>
              <w:right w:type="dxa" w:w="110"/>
            </w:tcMar>
            <w:vAlign w:val="center"/>
          </w:tcPr>
          <w:p>
            <w:pPr>
              <w:spacing w:after="0" w:line="264"/>
            </w:pPr>
            <w:r>
              <w:rPr>
                <w:color w:val="334155"/>
                <w:sz w:val="19"/>
                <w:szCs w:val="19"/>
              </w:rPr>
              <w:t xml:space="preserve">Every booking must follow a standard lifecycle with two-step OTP validation (start and completion) and an audit trail.</w:t>
            </w:r>
          </w:p>
        </w:tc>
        <w:tc>
          <w:tcPr>
            <w:tcW w:type="dxa" w:w="1600"/>
            <w:shd w:fill="EEF2F6"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BR-05</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The platform must support two-sided verified reviews linked to completed bookings, with a blind-review window.</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EEF2F6" w:color="auto" w:val="clear"/>
            <w:tcMar>
              <w:top w:type="dxa" w:w="70"/>
              <w:left w:type="dxa" w:w="110"/>
              <w:bottom w:type="dxa" w:w="70"/>
              <w:right w:type="dxa" w:w="110"/>
            </w:tcMar>
            <w:vAlign w:val="center"/>
          </w:tcPr>
          <w:p>
            <w:pPr>
              <w:spacing w:after="0" w:line="264"/>
            </w:pPr>
            <w:r>
              <w:rPr>
                <w:color w:val="334155"/>
                <w:sz w:val="19"/>
                <w:szCs w:val="19"/>
              </w:rPr>
              <w:t xml:space="preserve">BR-06</w:t>
            </w:r>
          </w:p>
        </w:tc>
        <w:tc>
          <w:tcPr>
            <w:tcW w:type="dxa" w:w="6560"/>
            <w:shd w:fill="EEF2F6" w:color="auto" w:val="clear"/>
            <w:tcMar>
              <w:top w:type="dxa" w:w="70"/>
              <w:left w:type="dxa" w:w="110"/>
              <w:bottom w:type="dxa" w:w="70"/>
              <w:right w:type="dxa" w:w="110"/>
            </w:tcMar>
            <w:vAlign w:val="center"/>
          </w:tcPr>
          <w:p>
            <w:pPr>
              <w:spacing w:after="0" w:line="264"/>
            </w:pPr>
            <w:r>
              <w:rPr>
                <w:color w:val="334155"/>
                <w:sz w:val="19"/>
                <w:szCs w:val="19"/>
              </w:rPr>
              <w:t xml:space="preserve">The MVP must operate without in-app payments; settlement is direct between parties and no payment data is stored.</w:t>
            </w:r>
          </w:p>
        </w:tc>
        <w:tc>
          <w:tcPr>
            <w:tcW w:type="dxa" w:w="1600"/>
            <w:shd w:fill="EEF2F6"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BR-07</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An administrative portal must enable KYC review, moderation, incident handling, and analytics.</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EEF2F6" w:color="auto" w:val="clear"/>
            <w:tcMar>
              <w:top w:type="dxa" w:w="70"/>
              <w:left w:type="dxa" w:w="110"/>
              <w:bottom w:type="dxa" w:w="70"/>
              <w:right w:type="dxa" w:w="110"/>
            </w:tcMar>
            <w:vAlign w:val="center"/>
          </w:tcPr>
          <w:p>
            <w:pPr>
              <w:spacing w:after="0" w:line="264"/>
            </w:pPr>
            <w:r>
              <w:rPr>
                <w:color w:val="334155"/>
                <w:sz w:val="19"/>
                <w:szCs w:val="19"/>
              </w:rPr>
              <w:t xml:space="preserve">BR-08</w:t>
            </w:r>
          </w:p>
        </w:tc>
        <w:tc>
          <w:tcPr>
            <w:tcW w:type="dxa" w:w="6560"/>
            <w:shd w:fill="EEF2F6" w:color="auto" w:val="clear"/>
            <w:tcMar>
              <w:top w:type="dxa" w:w="70"/>
              <w:left w:type="dxa" w:w="110"/>
              <w:bottom w:type="dxa" w:w="70"/>
              <w:right w:type="dxa" w:w="110"/>
            </w:tcMar>
            <w:vAlign w:val="center"/>
          </w:tcPr>
          <w:p>
            <w:pPr>
              <w:spacing w:after="0" w:line="264"/>
            </w:pPr>
            <w:r>
              <w:rPr>
                <w:color w:val="334155"/>
                <w:sz w:val="19"/>
                <w:szCs w:val="19"/>
              </w:rPr>
              <w:t xml:space="preserve">The platform must comply with the Digital Personal Data Protection Act, 2023, including consent capture and data-minimisation.</w:t>
            </w:r>
          </w:p>
        </w:tc>
        <w:tc>
          <w:tcPr>
            <w:tcW w:type="dxa" w:w="1600"/>
            <w:shd w:fill="EEF2F6"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BR-09</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The system must be built on cost-effective, scalable infrastructure (Supabase) with reserved integration points for future payments.</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Must</w:t>
            </w:r>
          </w:p>
        </w:tc>
      </w:tr>
      <w:tr>
        <w:tc>
          <w:tcPr>
            <w:tcW w:type="dxa" w:w="1200"/>
            <w:shd w:fill="EEF2F6" w:color="auto" w:val="clear"/>
            <w:tcMar>
              <w:top w:type="dxa" w:w="70"/>
              <w:left w:type="dxa" w:w="110"/>
              <w:bottom w:type="dxa" w:w="70"/>
              <w:right w:type="dxa" w:w="110"/>
            </w:tcMar>
            <w:vAlign w:val="center"/>
          </w:tcPr>
          <w:p>
            <w:pPr>
              <w:spacing w:after="0" w:line="264"/>
            </w:pPr>
            <w:r>
              <w:rPr>
                <w:color w:val="334155"/>
                <w:sz w:val="19"/>
                <w:szCs w:val="19"/>
              </w:rPr>
              <w:t xml:space="preserve">BR-10</w:t>
            </w:r>
          </w:p>
        </w:tc>
        <w:tc>
          <w:tcPr>
            <w:tcW w:type="dxa" w:w="6560"/>
            <w:shd w:fill="EEF2F6" w:color="auto" w:val="clear"/>
            <w:tcMar>
              <w:top w:type="dxa" w:w="70"/>
              <w:left w:type="dxa" w:w="110"/>
              <w:bottom w:type="dxa" w:w="70"/>
              <w:right w:type="dxa" w:w="110"/>
            </w:tcMar>
            <w:vAlign w:val="center"/>
          </w:tcPr>
          <w:p>
            <w:pPr>
              <w:spacing w:after="0" w:line="264"/>
            </w:pPr>
            <w:r>
              <w:rPr>
                <w:color w:val="334155"/>
                <w:sz w:val="19"/>
                <w:szCs w:val="19"/>
              </w:rPr>
              <w:t xml:space="preserve">Notifications (push/in-app, optional SMS/email) must keep users informed across the booking lifecycle.</w:t>
            </w:r>
          </w:p>
        </w:tc>
        <w:tc>
          <w:tcPr>
            <w:tcW w:type="dxa" w:w="1600"/>
            <w:shd w:fill="EEF2F6" w:color="auto" w:val="clear"/>
            <w:tcMar>
              <w:top w:type="dxa" w:w="70"/>
              <w:left w:type="dxa" w:w="110"/>
              <w:bottom w:type="dxa" w:w="70"/>
              <w:right w:type="dxa" w:w="110"/>
            </w:tcMar>
            <w:vAlign w:val="center"/>
          </w:tcPr>
          <w:p>
            <w:pPr>
              <w:spacing w:after="0" w:line="264"/>
            </w:pPr>
            <w:r>
              <w:rPr>
                <w:color w:val="334155"/>
                <w:sz w:val="19"/>
                <w:szCs w:val="19"/>
              </w:rPr>
              <w:t xml:space="preserve">Should</w:t>
            </w:r>
          </w:p>
        </w:tc>
      </w:tr>
      <w:tr>
        <w:tc>
          <w:tcPr>
            <w:tcW w:type="dxa" w:w="1200"/>
            <w:shd w:fill="FFFFFF" w:color="auto" w:val="clear"/>
            <w:tcMar>
              <w:top w:type="dxa" w:w="70"/>
              <w:left w:type="dxa" w:w="110"/>
              <w:bottom w:type="dxa" w:w="70"/>
              <w:right w:type="dxa" w:w="110"/>
            </w:tcMar>
            <w:vAlign w:val="center"/>
          </w:tcPr>
          <w:p>
            <w:pPr>
              <w:spacing w:after="0" w:line="264"/>
            </w:pPr>
            <w:r>
              <w:rPr>
                <w:color w:val="334155"/>
                <w:sz w:val="19"/>
                <w:szCs w:val="19"/>
              </w:rPr>
              <w:t xml:space="preserve">BR-11</w:t>
            </w:r>
          </w:p>
        </w:tc>
        <w:tc>
          <w:tcPr>
            <w:tcW w:type="dxa" w:w="6560"/>
            <w:shd w:fill="FFFFFF" w:color="auto" w:val="clear"/>
            <w:tcMar>
              <w:top w:type="dxa" w:w="70"/>
              <w:left w:type="dxa" w:w="110"/>
              <w:bottom w:type="dxa" w:w="70"/>
              <w:right w:type="dxa" w:w="110"/>
            </w:tcMar>
            <w:vAlign w:val="center"/>
          </w:tcPr>
          <w:p>
            <w:pPr>
              <w:spacing w:after="0" w:line="264"/>
            </w:pPr>
            <w:r>
              <w:rPr>
                <w:color w:val="334155"/>
                <w:sz w:val="19"/>
                <w:szCs w:val="19"/>
              </w:rPr>
              <w:t xml:space="preserve">The platform should surface fair visibility for newly onboarded providers to overcome the review cold-start.</w:t>
            </w:r>
          </w:p>
        </w:tc>
        <w:tc>
          <w:tcPr>
            <w:tcW w:type="dxa" w:w="1600"/>
            <w:shd w:fill="FFFFFF" w:color="auto" w:val="clear"/>
            <w:tcMar>
              <w:top w:type="dxa" w:w="70"/>
              <w:left w:type="dxa" w:w="110"/>
              <w:bottom w:type="dxa" w:w="70"/>
              <w:right w:type="dxa" w:w="110"/>
            </w:tcMar>
            <w:vAlign w:val="center"/>
          </w:tcPr>
          <w:p>
            <w:pPr>
              <w:spacing w:after="0" w:line="264"/>
            </w:pPr>
            <w:r>
              <w:rPr>
                <w:color w:val="334155"/>
                <w:sz w:val="19"/>
                <w:szCs w:val="19"/>
              </w:rPr>
              <w:t xml:space="preserve">Should</w:t>
            </w:r>
          </w:p>
        </w:tc>
      </w:tr>
    </w:tbl>
    <w:p>
      <w:pPr>
        <w:pStyle w:val="Heading1"/>
        <w:spacing w:after="160" w:before="340"/>
      </w:pPr>
      <w:r>
        <w:rPr>
          <w:b/>
          <w:bCs/>
          <w:color w:val="1F3A5F"/>
          <w:sz w:val="30"/>
          <w:szCs w:val="30"/>
        </w:rPr>
        <w:t xml:space="preserve">8. Success Metrics &amp; KPIs</w:t>
      </w:r>
    </w:p>
    <w:p>
      <w:pPr>
        <w:pBdr>
          <w:bottom w:val="single" w:color="2A9D8F" w:sz="6"/>
        </w:pBdr>
        <w:spacing w:after="160" w:before="60"/>
      </w:pPr>
    </w:p>
    <w:p>
      <w:pPr>
        <w:spacing w:after="120" w:line="276"/>
      </w:pPr>
      <w:r>
        <w:rPr>
          <w:b/>
          <w:bCs/>
          <w:color w:val="1F3A5F"/>
          <w:sz w:val="21"/>
          <w:szCs w:val="21"/>
        </w:rPr>
        <w:t xml:space="preserve">North Star Metric: </w:t>
      </w:r>
      <w:r>
        <w:rPr>
          <w:color w:val="334155"/>
          <w:sz w:val="21"/>
          <w:szCs w:val="21"/>
        </w:rPr>
        <w:t xml:space="preserve">Number of successfully completed, OTP-verified bookings per month. This single measure captures supply, demand, and trust simultaneously — a booking only counts if a verified provider met a real customer and both confirmed the service.</w:t>
      </w:r>
    </w:p>
    <w:p>
      <w:pPr>
        <w:spacing w:after="120" w:line="276"/>
      </w:pPr>
      <w:r>
        <w:rPr>
          <w:i/>
          <w:iCs/>
          <w:color w:val="64748B"/>
          <w:sz w:val="21"/>
          <w:szCs w:val="21"/>
        </w:rPr>
        <w:t xml:space="preserve">Targets below are initial planning benchmarks for the first ~6–12 months post-launch in the pilot geography. They must be calibrated against real onboarding data; they are directional, not contractual.</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4260"/>
        <w:gridCol w:w="2600"/>
      </w:tblGrid>
      <w:tr>
        <w:trPr>
          <w:tblHeader/>
        </w:trPr>
        <w:tc>
          <w:tcPr>
            <w:tcW w:type="dxa" w:w="25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Category</w:t>
            </w:r>
          </w:p>
        </w:tc>
        <w:tc>
          <w:tcPr>
            <w:tcW w:type="dxa" w:w="426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Metric</w:t>
            </w:r>
          </w:p>
        </w:tc>
        <w:tc>
          <w:tcPr>
            <w:tcW w:type="dxa" w:w="26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Illustrative Target</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Supply (Liquidity)</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KYC-verified Pet Buddies live in pilot geography</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300+ within 6 months</w:t>
            </w:r>
          </w:p>
        </w:tc>
      </w:tr>
      <w:tr>
        <w:tc>
          <w:tcPr>
            <w:tcW w:type="dxa" w:w="2500"/>
            <w:shd w:fill="EEF2F6" w:color="auto" w:val="clear"/>
            <w:tcMar>
              <w:top w:type="dxa" w:w="70"/>
              <w:left w:type="dxa" w:w="110"/>
              <w:bottom w:type="dxa" w:w="70"/>
              <w:right w:type="dxa" w:w="110"/>
            </w:tcMar>
            <w:vAlign w:val="center"/>
          </w:tcPr>
          <w:p>
            <w:pPr>
              <w:spacing w:after="0" w:line="264"/>
            </w:pPr>
            <w:r>
              <w:rPr>
                <w:color w:val="334155"/>
                <w:sz w:val="19"/>
                <w:szCs w:val="19"/>
              </w:rPr>
              <w:t xml:space="preserve">Demand (Liquidity)</w:t>
            </w:r>
          </w:p>
        </w:tc>
        <w:tc>
          <w:tcPr>
            <w:tcW w:type="dxa" w:w="4260"/>
            <w:shd w:fill="EEF2F6" w:color="auto" w:val="clear"/>
            <w:tcMar>
              <w:top w:type="dxa" w:w="70"/>
              <w:left w:type="dxa" w:w="110"/>
              <w:bottom w:type="dxa" w:w="70"/>
              <w:right w:type="dxa" w:w="110"/>
            </w:tcMar>
            <w:vAlign w:val="center"/>
          </w:tcPr>
          <w:p>
            <w:pPr>
              <w:spacing w:after="0" w:line="264"/>
            </w:pPr>
            <w:r>
              <w:rPr>
                <w:color w:val="334155"/>
                <w:sz w:val="19"/>
                <w:szCs w:val="19"/>
              </w:rPr>
              <w:t xml:space="preserve">Registered Pet Parents in pilot geography</w:t>
            </w:r>
          </w:p>
        </w:tc>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5,000+ within 6 months</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North Star</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Completed OTP-verified bookings / month</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1,000+ by month 6</w:t>
            </w:r>
          </w:p>
        </w:tc>
      </w:tr>
      <w:tr>
        <w:tc>
          <w:tcPr>
            <w:tcW w:type="dxa" w:w="2500"/>
            <w:shd w:fill="EEF2F6" w:color="auto" w:val="clear"/>
            <w:tcMar>
              <w:top w:type="dxa" w:w="70"/>
              <w:left w:type="dxa" w:w="110"/>
              <w:bottom w:type="dxa" w:w="70"/>
              <w:right w:type="dxa" w:w="110"/>
            </w:tcMar>
            <w:vAlign w:val="center"/>
          </w:tcPr>
          <w:p>
            <w:pPr>
              <w:spacing w:after="0" w:line="264"/>
            </w:pPr>
            <w:r>
              <w:rPr>
                <w:color w:val="334155"/>
                <w:sz w:val="19"/>
                <w:szCs w:val="19"/>
              </w:rPr>
              <w:t xml:space="preserve">Activation</w:t>
            </w:r>
          </w:p>
        </w:tc>
        <w:tc>
          <w:tcPr>
            <w:tcW w:type="dxa" w:w="4260"/>
            <w:shd w:fill="EEF2F6" w:color="auto" w:val="clear"/>
            <w:tcMar>
              <w:top w:type="dxa" w:w="70"/>
              <w:left w:type="dxa" w:w="110"/>
              <w:bottom w:type="dxa" w:w="70"/>
              <w:right w:type="dxa" w:w="110"/>
            </w:tcMar>
            <w:vAlign w:val="center"/>
          </w:tcPr>
          <w:p>
            <w:pPr>
              <w:spacing w:after="0" w:line="264"/>
            </w:pPr>
            <w:r>
              <w:rPr>
                <w:color w:val="334155"/>
                <w:sz w:val="19"/>
                <w:szCs w:val="19"/>
              </w:rPr>
              <w:t xml:space="preserve">% of registered parents who complete a first booking</w:t>
            </w:r>
          </w:p>
        </w:tc>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 30%</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Trust &amp; Safety</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 of bookings completed via full OTP validation</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 95%</w:t>
            </w:r>
          </w:p>
        </w:tc>
      </w:tr>
      <w:tr>
        <w:tc>
          <w:tcPr>
            <w:tcW w:type="dxa" w:w="2500"/>
            <w:shd w:fill="EEF2F6" w:color="auto" w:val="clear"/>
            <w:tcMar>
              <w:top w:type="dxa" w:w="70"/>
              <w:left w:type="dxa" w:w="110"/>
              <w:bottom w:type="dxa" w:w="70"/>
              <w:right w:type="dxa" w:w="110"/>
            </w:tcMar>
            <w:vAlign w:val="center"/>
          </w:tcPr>
          <w:p>
            <w:pPr>
              <w:spacing w:after="0" w:line="264"/>
            </w:pPr>
            <w:r>
              <w:rPr>
                <w:color w:val="334155"/>
                <w:sz w:val="19"/>
                <w:szCs w:val="19"/>
              </w:rPr>
              <w:t xml:space="preserve">Trust &amp; Safety</w:t>
            </w:r>
          </w:p>
        </w:tc>
        <w:tc>
          <w:tcPr>
            <w:tcW w:type="dxa" w:w="4260"/>
            <w:shd w:fill="EEF2F6" w:color="auto" w:val="clear"/>
            <w:tcMar>
              <w:top w:type="dxa" w:w="70"/>
              <w:left w:type="dxa" w:w="110"/>
              <w:bottom w:type="dxa" w:w="70"/>
              <w:right w:type="dxa" w:w="110"/>
            </w:tcMar>
            <w:vAlign w:val="center"/>
          </w:tcPr>
          <w:p>
            <w:pPr>
              <w:spacing w:after="0" w:line="264"/>
            </w:pPr>
            <w:r>
              <w:rPr>
                <w:color w:val="334155"/>
                <w:sz w:val="19"/>
                <w:szCs w:val="19"/>
              </w:rPr>
              <w:t xml:space="preserve">Verified incidents per 1,000 bookings</w:t>
            </w:r>
          </w:p>
        </w:tc>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&lt; 2</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Quality</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Average provider rating (post-threshold)</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 4.3 / 5</w:t>
            </w:r>
          </w:p>
        </w:tc>
      </w:tr>
      <w:tr>
        <w:tc>
          <w:tcPr>
            <w:tcW w:type="dxa" w:w="2500"/>
            <w:shd w:fill="EEF2F6" w:color="auto" w:val="clear"/>
            <w:tcMar>
              <w:top w:type="dxa" w:w="70"/>
              <w:left w:type="dxa" w:w="110"/>
              <w:bottom w:type="dxa" w:w="70"/>
              <w:right w:type="dxa" w:w="110"/>
            </w:tcMar>
            <w:vAlign w:val="center"/>
          </w:tcPr>
          <w:p>
            <w:pPr>
              <w:spacing w:after="0" w:line="264"/>
            </w:pPr>
            <w:r>
              <w:rPr>
                <w:color w:val="334155"/>
                <w:sz w:val="19"/>
                <w:szCs w:val="19"/>
              </w:rPr>
              <w:t xml:space="preserve">Retention</w:t>
            </w:r>
          </w:p>
        </w:tc>
        <w:tc>
          <w:tcPr>
            <w:tcW w:type="dxa" w:w="4260"/>
            <w:shd w:fill="EEF2F6" w:color="auto" w:val="clear"/>
            <w:tcMar>
              <w:top w:type="dxa" w:w="70"/>
              <w:left w:type="dxa" w:w="110"/>
              <w:bottom w:type="dxa" w:w="70"/>
              <w:right w:type="dxa" w:w="110"/>
            </w:tcMar>
            <w:vAlign w:val="center"/>
          </w:tcPr>
          <w:p>
            <w:pPr>
              <w:spacing w:after="0" w:line="264"/>
            </w:pPr>
            <w:r>
              <w:rPr>
                <w:color w:val="334155"/>
                <w:sz w:val="19"/>
                <w:szCs w:val="19"/>
              </w:rPr>
              <w:t xml:space="preserve">30-day repeat-booking rate (Pet Parents)</w:t>
            </w:r>
          </w:p>
        </w:tc>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 25%</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Supply health</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 of active Pet Buddies with ≥ 1 booking / month</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 60%</w:t>
            </w:r>
          </w:p>
        </w:tc>
      </w:tr>
      <w:tr>
        <w:tc>
          <w:tcPr>
            <w:tcW w:type="dxa" w:w="2500"/>
            <w:shd w:fill="EEF2F6" w:color="auto" w:val="clear"/>
            <w:tcMar>
              <w:top w:type="dxa" w:w="70"/>
              <w:left w:type="dxa" w:w="110"/>
              <w:bottom w:type="dxa" w:w="70"/>
              <w:right w:type="dxa" w:w="110"/>
            </w:tcMar>
            <w:vAlign w:val="center"/>
          </w:tcPr>
          <w:p>
            <w:pPr>
              <w:spacing w:after="0" w:line="264"/>
            </w:pPr>
            <w:r>
              <w:rPr>
                <w:color w:val="334155"/>
                <w:sz w:val="19"/>
                <w:szCs w:val="19"/>
              </w:rPr>
              <w:t xml:space="preserve">Reliability</w:t>
            </w:r>
          </w:p>
        </w:tc>
        <w:tc>
          <w:tcPr>
            <w:tcW w:type="dxa" w:w="4260"/>
            <w:shd w:fill="EEF2F6" w:color="auto" w:val="clear"/>
            <w:tcMar>
              <w:top w:type="dxa" w:w="70"/>
              <w:left w:type="dxa" w:w="110"/>
              <w:bottom w:type="dxa" w:w="70"/>
              <w:right w:type="dxa" w:w="110"/>
            </w:tcMar>
            <w:vAlign w:val="center"/>
          </w:tcPr>
          <w:p>
            <w:pPr>
              <w:spacing w:after="0" w:line="264"/>
            </w:pPr>
            <w:r>
              <w:rPr>
                <w:color w:val="334155"/>
                <w:sz w:val="19"/>
                <w:szCs w:val="19"/>
              </w:rPr>
              <w:t xml:space="preserve">Booking completion rate (accepted → completed)</w:t>
            </w:r>
          </w:p>
        </w:tc>
        <w:tc>
          <w:tcPr>
            <w:tcW w:type="dxa" w:w="2600"/>
            <w:shd w:fill="EEF2F6" w:color="auto" w:val="clear"/>
            <w:tcMar>
              <w:top w:type="dxa" w:w="70"/>
              <w:left w:type="dxa" w:w="110"/>
              <w:bottom w:type="dxa" w:w="70"/>
              <w:right w:type="dxa" w:w="110"/>
            </w:tcMar>
            <w:vAlign w:val="center"/>
          </w:tcPr>
          <w:p>
            <w:pPr>
              <w:spacing w:after="0" w:line="264"/>
            </w:pPr>
            <w:r>
              <w:rPr>
                <w:color w:val="334155"/>
                <w:sz w:val="19"/>
                <w:szCs w:val="19"/>
              </w:rPr>
              <w:t xml:space="preserve">≥ 90%</w:t>
            </w:r>
          </w:p>
        </w:tc>
      </w:tr>
      <w:tr>
        <w:tc>
          <w:tcPr>
            <w:tcW w:type="dxa" w:w="2500"/>
            <w:shd w:fill="FFFFFF" w:color="auto" w:val="clear"/>
            <w:tcMar>
              <w:top w:type="dxa" w:w="70"/>
              <w:left w:type="dxa" w:w="110"/>
              <w:bottom w:type="dxa" w:w="70"/>
              <w:right w:type="dxa" w:w="110"/>
            </w:tcMar>
            <w:vAlign w:val="center"/>
          </w:tcPr>
          <w:p>
            <w:pPr>
              <w:spacing w:after="0" w:line="264"/>
            </w:pPr>
            <w:r>
              <w:rPr>
                <w:color w:val="334155"/>
                <w:sz w:val="19"/>
                <w:szCs w:val="19"/>
              </w:rPr>
              <w:t xml:space="preserve">Platform health</w:t>
            </w:r>
          </w:p>
        </w:tc>
        <w:tc>
          <w:tcPr>
            <w:tcW w:type="dxa" w:w="4260"/>
            <w:shd w:fill="FFFFFF" w:color="auto" w:val="clear"/>
            <w:tcMar>
              <w:top w:type="dxa" w:w="70"/>
              <w:left w:type="dxa" w:w="110"/>
              <w:bottom w:type="dxa" w:w="70"/>
              <w:right w:type="dxa" w:w="110"/>
            </w:tcMar>
            <w:vAlign w:val="center"/>
          </w:tcPr>
          <w:p>
            <w:pPr>
              <w:spacing w:after="0" w:line="264"/>
            </w:pPr>
            <w:r>
              <w:rPr>
                <w:color w:val="334155"/>
                <w:sz w:val="19"/>
                <w:szCs w:val="19"/>
              </w:rPr>
              <w:t xml:space="preserve">Crash-free sessions / app store rating</w:t>
            </w:r>
          </w:p>
        </w:tc>
        <w:tc>
          <w:tcPr>
            <w:tcW w:type="dxa" w:w="2600"/>
            <w:shd w:fill="FFFFFF" w:color="auto" w:val="clear"/>
            <w:tcMar>
              <w:top w:type="dxa" w:w="70"/>
              <w:left w:type="dxa" w:w="110"/>
              <w:bottom w:type="dxa" w:w="70"/>
              <w:right w:type="dxa" w:w="110"/>
            </w:tcMar>
            <w:vAlign w:val="center"/>
          </w:tcPr>
          <w:p>
            <w:pPr>
              <w:spacing w:after="0" w:line="264"/>
            </w:pPr>
            <w:r>
              <w:rPr>
                <w:color w:val="334155"/>
                <w:sz w:val="19"/>
                <w:szCs w:val="19"/>
              </w:rPr>
              <w:t xml:space="preserve">≥ 99% / ≥ 4.3</w:t>
            </w:r>
          </w:p>
        </w:tc>
      </w:tr>
    </w:tbl>
    <w:p>
      <w:pPr>
        <w:pStyle w:val="Heading1"/>
        <w:spacing w:after="160" w:before="340"/>
      </w:pPr>
      <w:r>
        <w:rPr>
          <w:b/>
          <w:bCs/>
          <w:color w:val="1F3A5F"/>
          <w:sz w:val="30"/>
          <w:szCs w:val="30"/>
        </w:rPr>
        <w:t xml:space="preserve">9. Assumptions</w:t>
      </w:r>
    </w:p>
    <w:p>
      <w:pPr>
        <w:pBdr>
          <w:bottom w:val="single" w:color="2A9D8F" w:sz="6"/>
        </w:pBdr>
        <w:spacing w:after="160" w:before="60"/>
      </w:pPr>
    </w:p>
    <w:p>
      <w:pPr>
        <w:pStyle w:val="ListParagraph"/>
        <w:numPr>
          <w:ilvl w:val="0"/>
          <w:numId w:val="2"/>
        </w:numPr>
        <w:spacing w:after="80" w:line="272"/>
      </w:pPr>
      <w:r>
        <w:rPr>
          <w:color w:val="334155"/>
          <w:sz w:val="21"/>
          <w:szCs w:val="21"/>
        </w:rPr>
        <w:t xml:space="preserve">Independent professionals will complete KYC in exchange for verified visibility and free (commission-less) bookings during MVP.</w:t>
      </w:r>
    </w:p>
    <w:p>
      <w:pPr>
        <w:pStyle w:val="ListParagraph"/>
        <w:numPr>
          <w:ilvl w:val="0"/>
          <w:numId w:val="2"/>
        </w:numPr>
        <w:spacing w:after="80" w:line="272"/>
      </w:pPr>
      <w:r>
        <w:rPr>
          <w:color w:val="334155"/>
          <w:sz w:val="21"/>
          <w:szCs w:val="21"/>
        </w:rPr>
        <w:t xml:space="preserve">Direct, off-platform settlement is acceptable to both parties in Phase 1 and does not materially block adoption.</w:t>
      </w:r>
    </w:p>
    <w:p>
      <w:pPr>
        <w:pStyle w:val="ListParagraph"/>
        <w:numPr>
          <w:ilvl w:val="0"/>
          <w:numId w:val="2"/>
        </w:numPr>
        <w:spacing w:after="80" w:line="272"/>
      </w:pPr>
      <w:r>
        <w:rPr>
          <w:color w:val="334155"/>
          <w:sz w:val="21"/>
          <w:szCs w:val="21"/>
        </w:rPr>
        <w:t xml:space="preserve">Concentrating launch in one dense geography is sufficient to reach marketplace liquidity.</w:t>
      </w:r>
    </w:p>
    <w:p>
      <w:pPr>
        <w:pStyle w:val="ListParagraph"/>
        <w:numPr>
          <w:ilvl w:val="0"/>
          <w:numId w:val="2"/>
        </w:numPr>
        <w:spacing w:after="80" w:line="272"/>
      </w:pPr>
      <w:r>
        <w:rPr>
          <w:color w:val="334155"/>
          <w:sz w:val="21"/>
          <w:szCs w:val="21"/>
        </w:rPr>
        <w:t xml:space="preserve">Target users have smartphones, data connectivity, and willingness to transact through an app.</w:t>
      </w:r>
    </w:p>
    <w:p>
      <w:pPr>
        <w:pStyle w:val="ListParagraph"/>
        <w:numPr>
          <w:ilvl w:val="0"/>
          <w:numId w:val="2"/>
        </w:numPr>
        <w:spacing w:after="80" w:line="272"/>
      </w:pPr>
      <w:r>
        <w:rPr>
          <w:color w:val="334155"/>
          <w:sz w:val="21"/>
          <w:szCs w:val="21"/>
        </w:rPr>
        <w:t xml:space="preserve">A cost-effective stack (Supabase + cross-platform frontend) can meet MVP performance and security needs.</w:t>
      </w:r>
    </w:p>
    <w:p>
      <w:pPr>
        <w:pStyle w:val="Heading1"/>
        <w:spacing w:after="160" w:before="340"/>
      </w:pPr>
      <w:r>
        <w:rPr>
          <w:b/>
          <w:bCs/>
          <w:color w:val="1F3A5F"/>
          <w:sz w:val="30"/>
          <w:szCs w:val="30"/>
        </w:rPr>
        <w:t xml:space="preserve">10. Constraints</w:t>
      </w:r>
    </w:p>
    <w:p>
      <w:pPr>
        <w:pBdr>
          <w:bottom w:val="single" w:color="2A9D8F" w:sz="6"/>
        </w:pBdr>
        <w:spacing w:after="160" w:before="60"/>
      </w:pPr>
    </w:p>
    <w:p>
      <w:pPr>
        <w:pStyle w:val="ListParagraph"/>
        <w:numPr>
          <w:ilvl w:val="0"/>
          <w:numId w:val="2"/>
        </w:numPr>
        <w:spacing w:after="80" w:line="272"/>
      </w:pPr>
      <w:r>
        <w:rPr>
          <w:b/>
          <w:bCs/>
          <w:color w:val="334155"/>
          <w:sz w:val="21"/>
          <w:szCs w:val="21"/>
        </w:rPr>
        <w:t xml:space="preserve">Cost-first. </w:t>
      </w:r>
      <w:r>
        <w:rPr>
          <w:color w:val="334155"/>
          <w:sz w:val="21"/>
          <w:szCs w:val="21"/>
        </w:rPr>
        <w:t xml:space="preserve">Budget: the build must favour free, open-source, or highly cost-effective tooling wherever possible.</w:t>
      </w:r>
    </w:p>
    <w:p>
      <w:pPr>
        <w:pStyle w:val="ListParagraph"/>
        <w:numPr>
          <w:ilvl w:val="0"/>
          <w:numId w:val="2"/>
        </w:numPr>
        <w:spacing w:after="80" w:line="272"/>
      </w:pPr>
      <w:r>
        <w:rPr>
          <w:b/>
          <w:bCs/>
          <w:color w:val="334155"/>
          <w:sz w:val="21"/>
          <w:szCs w:val="21"/>
        </w:rPr>
        <w:t xml:space="preserve">Fixed stack. </w:t>
      </w:r>
      <w:r>
        <w:rPr>
          <w:color w:val="334155"/>
          <w:sz w:val="21"/>
          <w:szCs w:val="21"/>
        </w:rPr>
        <w:t xml:space="preserve">Backend and database are standardised on Supabase; frontend is a cross-platform framework (React Native/Expo recommended, Flutter alternative).</w:t>
      </w:r>
    </w:p>
    <w:p>
      <w:pPr>
        <w:pStyle w:val="ListParagraph"/>
        <w:numPr>
          <w:ilvl w:val="0"/>
          <w:numId w:val="2"/>
        </w:numPr>
        <w:spacing w:after="80" w:line="272"/>
      </w:pPr>
      <w:r>
        <w:rPr>
          <w:b/>
          <w:bCs/>
          <w:color w:val="334155"/>
          <w:sz w:val="21"/>
          <w:szCs w:val="21"/>
        </w:rPr>
        <w:t xml:space="preserve">Pre-revenue MVP. </w:t>
      </w:r>
      <w:r>
        <w:rPr>
          <w:color w:val="334155"/>
          <w:sz w:val="21"/>
          <w:szCs w:val="21"/>
        </w:rPr>
        <w:t xml:space="preserve">No in-app payments or commission in MVP; this constrains monetisation and requires strong non-payment retention hooks.</w:t>
      </w:r>
    </w:p>
    <w:p>
      <w:pPr>
        <w:pStyle w:val="ListParagraph"/>
        <w:numPr>
          <w:ilvl w:val="0"/>
          <w:numId w:val="2"/>
        </w:numPr>
        <w:spacing w:after="80" w:line="272"/>
      </w:pPr>
      <w:r>
        <w:rPr>
          <w:b/>
          <w:bCs/>
          <w:color w:val="334155"/>
          <w:sz w:val="21"/>
          <w:szCs w:val="21"/>
        </w:rPr>
        <w:t xml:space="preserve">Regulatory. </w:t>
      </w:r>
      <w:r>
        <w:rPr>
          <w:color w:val="334155"/>
          <w:sz w:val="21"/>
          <w:szCs w:val="21"/>
        </w:rPr>
        <w:t xml:space="preserve">The platform operates as a technology intermediary and must comply with the DPDP Act, 2023 and applicable consumer-protection law.</w:t>
      </w:r>
    </w:p>
    <w:p>
      <w:r>
        <w:br w:type="page"/>
      </w:r>
    </w:p>
    <w:p>
      <w:pPr>
        <w:pStyle w:val="Heading1"/>
        <w:spacing w:after="160" w:before="340"/>
      </w:pPr>
      <w:r>
        <w:rPr>
          <w:b/>
          <w:bCs/>
          <w:color w:val="1F3A5F"/>
          <w:sz w:val="30"/>
          <w:szCs w:val="30"/>
        </w:rPr>
        <w:t xml:space="preserve">11. Key Business Risks &amp; Mitigations</w:t>
      </w:r>
    </w:p>
    <w:p>
      <w:pPr>
        <w:pBdr>
          <w:bottom w:val="single" w:color="2A9D8F" w:sz="6"/>
        </w:pBdr>
        <w:spacing w:after="160" w:before="6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000"/>
        <w:gridCol w:w="1500"/>
        <w:gridCol w:w="4860"/>
      </w:tblGrid>
      <w:tr>
        <w:trPr>
          <w:tblHeader/>
        </w:trPr>
        <w:tc>
          <w:tcPr>
            <w:tcW w:type="dxa" w:w="30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Risk</w:t>
            </w:r>
          </w:p>
        </w:tc>
        <w:tc>
          <w:tcPr>
            <w:tcW w:type="dxa" w:w="15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Severity</w:t>
            </w:r>
          </w:p>
        </w:tc>
        <w:tc>
          <w:tcPr>
            <w:tcW w:type="dxa" w:w="486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Mitigation</w:t>
            </w:r>
          </w:p>
        </w:tc>
      </w:tr>
      <w:tr>
        <w:tc>
          <w:tcPr>
            <w:tcW w:type="dxa" w:w="3000"/>
            <w:shd w:fill="FFFFFF" w:color="auto" w:val="clear"/>
            <w:tcMar>
              <w:top w:type="dxa" w:w="70"/>
              <w:left w:type="dxa" w:w="110"/>
              <w:bottom w:type="dxa" w:w="70"/>
              <w:right w:type="dxa" w:w="110"/>
            </w:tcMar>
            <w:vAlign w:val="center"/>
          </w:tcPr>
          <w:p>
            <w:pPr>
              <w:spacing w:after="0" w:line="264"/>
            </w:pPr>
            <w:r>
              <w:rPr>
                <w:color w:val="334155"/>
                <w:sz w:val="19"/>
                <w:szCs w:val="19"/>
              </w:rPr>
              <w:t xml:space="preserve">Disintermediation — parties transact off-platform after first contact (worsened by no in-app payments).</w:t>
            </w:r>
          </w:p>
        </w:tc>
        <w:tc>
          <w:tcPr>
            <w:tcW w:type="dxa" w:w="1500"/>
            <w:shd w:fill="FFFFFF" w:color="auto" w:val="clear"/>
            <w:tcMar>
              <w:top w:type="dxa" w:w="70"/>
              <w:left w:type="dxa" w:w="110"/>
              <w:bottom w:type="dxa" w:w="70"/>
              <w:right w:type="dxa" w:w="110"/>
            </w:tcMar>
            <w:vAlign w:val="center"/>
          </w:tcPr>
          <w:p>
            <w:pPr>
              <w:spacing w:after="0" w:line="264"/>
            </w:pPr>
            <w:r>
              <w:rPr>
                <w:color w:val="334155"/>
                <w:sz w:val="19"/>
                <w:szCs w:val="19"/>
              </w:rPr>
              <w:t xml:space="preserve">High</w:t>
            </w:r>
          </w:p>
        </w:tc>
        <w:tc>
          <w:tcPr>
            <w:tcW w:type="dxa" w:w="4860"/>
            <w:shd w:fill="FFFFFF" w:color="auto" w:val="clear"/>
            <w:tcMar>
              <w:top w:type="dxa" w:w="70"/>
              <w:left w:type="dxa" w:w="110"/>
              <w:bottom w:type="dxa" w:w="70"/>
              <w:right w:type="dxa" w:w="110"/>
            </w:tcMar>
            <w:vAlign w:val="center"/>
          </w:tcPr>
          <w:p>
            <w:pPr>
              <w:spacing w:after="0" w:line="264"/>
            </w:pPr>
            <w:r>
              <w:rPr>
                <w:color w:val="334155"/>
                <w:sz w:val="19"/>
                <w:szCs w:val="19"/>
              </w:rPr>
              <w:t xml:space="preserve">Concentrate value on-platform: verified profiles, OTP records, booking history, reviews; add commission + in-app payments in Phase 2.</w:t>
            </w:r>
          </w:p>
        </w:tc>
      </w:tr>
      <w:tr>
        <w:tc>
          <w:tcPr>
            <w:tcW w:type="dxa" w:w="3000"/>
            <w:shd w:fill="EEF2F6" w:color="auto" w:val="clear"/>
            <w:tcMar>
              <w:top w:type="dxa" w:w="70"/>
              <w:left w:type="dxa" w:w="110"/>
              <w:bottom w:type="dxa" w:w="70"/>
              <w:right w:type="dxa" w:w="110"/>
            </w:tcMar>
            <w:vAlign w:val="center"/>
          </w:tcPr>
          <w:p>
            <w:pPr>
              <w:spacing w:after="0" w:line="264"/>
            </w:pPr>
            <w:r>
              <w:rPr>
                <w:color w:val="334155"/>
                <w:sz w:val="19"/>
                <w:szCs w:val="19"/>
              </w:rPr>
              <w:t xml:space="preserve">Cold-start liquidity — too few providers or customers to sustain bookings.</w:t>
            </w:r>
          </w:p>
        </w:tc>
        <w:tc>
          <w:tcPr>
            <w:tcW w:type="dxa" w:w="1500"/>
            <w:shd w:fill="EEF2F6" w:color="auto" w:val="clear"/>
            <w:tcMar>
              <w:top w:type="dxa" w:w="70"/>
              <w:left w:type="dxa" w:w="110"/>
              <w:bottom w:type="dxa" w:w="70"/>
              <w:right w:type="dxa" w:w="110"/>
            </w:tcMar>
            <w:vAlign w:val="center"/>
          </w:tcPr>
          <w:p>
            <w:pPr>
              <w:spacing w:after="0" w:line="264"/>
            </w:pPr>
            <w:r>
              <w:rPr>
                <w:color w:val="334155"/>
                <w:sz w:val="19"/>
                <w:szCs w:val="19"/>
              </w:rPr>
              <w:t xml:space="preserve">High</w:t>
            </w:r>
          </w:p>
        </w:tc>
        <w:tc>
          <w:tcPr>
            <w:tcW w:type="dxa" w:w="4860"/>
            <w:shd w:fill="EEF2F6" w:color="auto" w:val="clear"/>
            <w:tcMar>
              <w:top w:type="dxa" w:w="70"/>
              <w:left w:type="dxa" w:w="110"/>
              <w:bottom w:type="dxa" w:w="70"/>
              <w:right w:type="dxa" w:w="110"/>
            </w:tcMar>
            <w:vAlign w:val="center"/>
          </w:tcPr>
          <w:p>
            <w:pPr>
              <w:spacing w:after="0" w:line="264"/>
            </w:pPr>
            <w:r>
              <w:rPr>
                <w:color w:val="334155"/>
                <w:sz w:val="19"/>
                <w:szCs w:val="19"/>
              </w:rPr>
              <w:t xml:space="preserve">Single-geography launch; free onboarding; fair visibility for new providers; targeted supply acquisition first.</w:t>
            </w:r>
          </w:p>
        </w:tc>
      </w:tr>
      <w:tr>
        <w:tc>
          <w:tcPr>
            <w:tcW w:type="dxa" w:w="3000"/>
            <w:shd w:fill="FFFFFF" w:color="auto" w:val="clear"/>
            <w:tcMar>
              <w:top w:type="dxa" w:w="70"/>
              <w:left w:type="dxa" w:w="110"/>
              <w:bottom w:type="dxa" w:w="70"/>
              <w:right w:type="dxa" w:w="110"/>
            </w:tcMar>
            <w:vAlign w:val="center"/>
          </w:tcPr>
          <w:p>
            <w:pPr>
              <w:spacing w:after="0" w:line="264"/>
            </w:pPr>
            <w:r>
              <w:rPr>
                <w:color w:val="334155"/>
                <w:sz w:val="19"/>
                <w:szCs w:val="19"/>
              </w:rPr>
              <w:t xml:space="preserve">Trust/safety incident during a service (bite, injury, misconduct).</w:t>
            </w:r>
          </w:p>
        </w:tc>
        <w:tc>
          <w:tcPr>
            <w:tcW w:type="dxa" w:w="1500"/>
            <w:shd w:fill="FFFFFF" w:color="auto" w:val="clear"/>
            <w:tcMar>
              <w:top w:type="dxa" w:w="70"/>
              <w:left w:type="dxa" w:w="110"/>
              <w:bottom w:type="dxa" w:w="70"/>
              <w:right w:type="dxa" w:w="110"/>
            </w:tcMar>
            <w:vAlign w:val="center"/>
          </w:tcPr>
          <w:p>
            <w:pPr>
              <w:spacing w:after="0" w:line="264"/>
            </w:pPr>
            <w:r>
              <w:rPr>
                <w:color w:val="334155"/>
                <w:sz w:val="19"/>
                <w:szCs w:val="19"/>
              </w:rPr>
              <w:t xml:space="preserve">High</w:t>
            </w:r>
          </w:p>
        </w:tc>
        <w:tc>
          <w:tcPr>
            <w:tcW w:type="dxa" w:w="4860"/>
            <w:shd w:fill="FFFFFF" w:color="auto" w:val="clear"/>
            <w:tcMar>
              <w:top w:type="dxa" w:w="70"/>
              <w:left w:type="dxa" w:w="110"/>
              <w:bottom w:type="dxa" w:w="70"/>
              <w:right w:type="dxa" w:w="110"/>
            </w:tcMar>
            <w:vAlign w:val="center"/>
          </w:tcPr>
          <w:p>
            <w:pPr>
              <w:spacing w:after="0" w:line="264"/>
            </w:pPr>
            <w:r>
              <w:rPr>
                <w:color w:val="334155"/>
                <w:sz w:val="19"/>
                <w:szCs w:val="19"/>
              </w:rPr>
              <w:t xml:space="preserve">Mandatory KYC, disclosure obligations, incident workflow, severity-tiered suspension; insurance in a later phase.</w:t>
            </w:r>
          </w:p>
        </w:tc>
      </w:tr>
      <w:tr>
        <w:tc>
          <w:tcPr>
            <w:tcW w:type="dxa" w:w="3000"/>
            <w:shd w:fill="EEF2F6" w:color="auto" w:val="clear"/>
            <w:tcMar>
              <w:top w:type="dxa" w:w="70"/>
              <w:left w:type="dxa" w:w="110"/>
              <w:bottom w:type="dxa" w:w="70"/>
              <w:right w:type="dxa" w:w="110"/>
            </w:tcMar>
            <w:vAlign w:val="center"/>
          </w:tcPr>
          <w:p>
            <w:pPr>
              <w:spacing w:after="0" w:line="264"/>
            </w:pPr>
            <w:r>
              <w:rPr>
                <w:color w:val="334155"/>
                <w:sz w:val="19"/>
                <w:szCs w:val="19"/>
              </w:rPr>
              <w:t xml:space="preserve">Verification asymmetry — only providers verified while customers are not.</w:t>
            </w:r>
          </w:p>
        </w:tc>
        <w:tc>
          <w:tcPr>
            <w:tcW w:type="dxa" w:w="1500"/>
            <w:shd w:fill="EEF2F6" w:color="auto" w:val="clear"/>
            <w:tcMar>
              <w:top w:type="dxa" w:w="70"/>
              <w:left w:type="dxa" w:w="110"/>
              <w:bottom w:type="dxa" w:w="70"/>
              <w:right w:type="dxa" w:w="110"/>
            </w:tcMar>
            <w:vAlign w:val="center"/>
          </w:tcPr>
          <w:p>
            <w:pPr>
              <w:spacing w:after="0" w:line="264"/>
            </w:pPr>
            <w:r>
              <w:rPr>
                <w:color w:val="334155"/>
                <w:sz w:val="19"/>
                <w:szCs w:val="19"/>
              </w:rPr>
              <w:t xml:space="preserve">Medium</w:t>
            </w:r>
          </w:p>
        </w:tc>
        <w:tc>
          <w:tcPr>
            <w:tcW w:type="dxa" w:w="4860"/>
            <w:shd w:fill="EEF2F6" w:color="auto" w:val="clear"/>
            <w:tcMar>
              <w:top w:type="dxa" w:w="70"/>
              <w:left w:type="dxa" w:w="110"/>
              <w:bottom w:type="dxa" w:w="70"/>
              <w:right w:type="dxa" w:w="110"/>
            </w:tcMar>
            <w:vAlign w:val="center"/>
          </w:tcPr>
          <w:p>
            <w:pPr>
              <w:spacing w:after="0" w:line="264"/>
            </w:pPr>
            <w:r>
              <w:rPr>
                <w:color w:val="334155"/>
                <w:sz w:val="19"/>
                <w:szCs w:val="19"/>
              </w:rPr>
              <w:t xml:space="preserve">Extend identity verification to Pet Parents (at least for in-home services).</w:t>
            </w:r>
          </w:p>
        </w:tc>
      </w:tr>
      <w:tr>
        <w:tc>
          <w:tcPr>
            <w:tcW w:type="dxa" w:w="3000"/>
            <w:shd w:fill="FFFFFF" w:color="auto" w:val="clear"/>
            <w:tcMar>
              <w:top w:type="dxa" w:w="70"/>
              <w:left w:type="dxa" w:w="110"/>
              <w:bottom w:type="dxa" w:w="70"/>
              <w:right w:type="dxa" w:w="110"/>
            </w:tcMar>
            <w:vAlign w:val="center"/>
          </w:tcPr>
          <w:p>
            <w:pPr>
              <w:spacing w:after="0" w:line="264"/>
            </w:pPr>
            <w:r>
              <w:rPr>
                <w:color w:val="334155"/>
                <w:sz w:val="19"/>
                <w:szCs w:val="19"/>
              </w:rPr>
              <w:t xml:space="preserve">Regulatory — DPDP non-compliance handling ID, medical, and location data.</w:t>
            </w:r>
          </w:p>
        </w:tc>
        <w:tc>
          <w:tcPr>
            <w:tcW w:type="dxa" w:w="1500"/>
            <w:shd w:fill="FFFFFF" w:color="auto" w:val="clear"/>
            <w:tcMar>
              <w:top w:type="dxa" w:w="70"/>
              <w:left w:type="dxa" w:w="110"/>
              <w:bottom w:type="dxa" w:w="70"/>
              <w:right w:type="dxa" w:w="110"/>
            </w:tcMar>
            <w:vAlign w:val="center"/>
          </w:tcPr>
          <w:p>
            <w:pPr>
              <w:spacing w:after="0" w:line="264"/>
            </w:pPr>
            <w:r>
              <w:rPr>
                <w:color w:val="334155"/>
                <w:sz w:val="19"/>
                <w:szCs w:val="19"/>
              </w:rPr>
              <w:t xml:space="preserve">Medium</w:t>
            </w:r>
          </w:p>
        </w:tc>
        <w:tc>
          <w:tcPr>
            <w:tcW w:type="dxa" w:w="4860"/>
            <w:shd w:fill="FFFFFF" w:color="auto" w:val="clear"/>
            <w:tcMar>
              <w:top w:type="dxa" w:w="70"/>
              <w:left w:type="dxa" w:w="110"/>
              <w:bottom w:type="dxa" w:w="70"/>
              <w:right w:type="dxa" w:w="110"/>
            </w:tcMar>
            <w:vAlign w:val="center"/>
          </w:tcPr>
          <w:p>
            <w:pPr>
              <w:spacing w:after="0" w:line="264"/>
            </w:pPr>
            <w:r>
              <w:rPr>
                <w:color w:val="334155"/>
                <w:sz w:val="19"/>
                <w:szCs w:val="19"/>
              </w:rPr>
              <w:t xml:space="preserve">Consent capture, data-minimisation, retention limits, audit logging; legal review before launch.</w:t>
            </w:r>
          </w:p>
        </w:tc>
      </w:tr>
      <w:tr>
        <w:tc>
          <w:tcPr>
            <w:tcW w:type="dxa" w:w="3000"/>
            <w:shd w:fill="EEF2F6" w:color="auto" w:val="clear"/>
            <w:tcMar>
              <w:top w:type="dxa" w:w="70"/>
              <w:left w:type="dxa" w:w="110"/>
              <w:bottom w:type="dxa" w:w="70"/>
              <w:right w:type="dxa" w:w="110"/>
            </w:tcMar>
            <w:vAlign w:val="center"/>
          </w:tcPr>
          <w:p>
            <w:pPr>
              <w:spacing w:after="0" w:line="264"/>
            </w:pPr>
            <w:r>
              <w:rPr>
                <w:color w:val="334155"/>
                <w:sz w:val="19"/>
                <w:szCs w:val="19"/>
              </w:rPr>
              <w:t xml:space="preserve">No MVP revenue — runway pressure before monetisation.</w:t>
            </w:r>
          </w:p>
        </w:tc>
        <w:tc>
          <w:tcPr>
            <w:tcW w:type="dxa" w:w="1500"/>
            <w:shd w:fill="EEF2F6" w:color="auto" w:val="clear"/>
            <w:tcMar>
              <w:top w:type="dxa" w:w="70"/>
              <w:left w:type="dxa" w:w="110"/>
              <w:bottom w:type="dxa" w:w="70"/>
              <w:right w:type="dxa" w:w="110"/>
            </w:tcMar>
            <w:vAlign w:val="center"/>
          </w:tcPr>
          <w:p>
            <w:pPr>
              <w:spacing w:after="0" w:line="264"/>
            </w:pPr>
            <w:r>
              <w:rPr>
                <w:color w:val="334155"/>
                <w:sz w:val="19"/>
                <w:szCs w:val="19"/>
              </w:rPr>
              <w:t xml:space="preserve">Medium</w:t>
            </w:r>
          </w:p>
        </w:tc>
        <w:tc>
          <w:tcPr>
            <w:tcW w:type="dxa" w:w="4860"/>
            <w:shd w:fill="EEF2F6" w:color="auto" w:val="clear"/>
            <w:tcMar>
              <w:top w:type="dxa" w:w="70"/>
              <w:left w:type="dxa" w:w="110"/>
              <w:bottom w:type="dxa" w:w="70"/>
              <w:right w:type="dxa" w:w="110"/>
            </w:tcMar>
            <w:vAlign w:val="center"/>
          </w:tcPr>
          <w:p>
            <w:pPr>
              <w:spacing w:after="0" w:line="264"/>
            </w:pPr>
            <w:r>
              <w:rPr>
                <w:color w:val="334155"/>
                <w:sz w:val="19"/>
                <w:szCs w:val="19"/>
              </w:rPr>
              <w:t xml:space="preserve">Keep build lean on Supabase; pre-plan commission/payments; stage-gate spend to liquidity milestones.</w:t>
            </w:r>
          </w:p>
        </w:tc>
      </w:tr>
    </w:tbl>
    <w:p>
      <w:pPr>
        <w:pStyle w:val="Heading1"/>
        <w:spacing w:after="160" w:before="340"/>
      </w:pPr>
      <w:r>
        <w:rPr>
          <w:b/>
          <w:bCs/>
          <w:color w:val="1F3A5F"/>
          <w:sz w:val="30"/>
          <w:szCs w:val="30"/>
        </w:rPr>
        <w:t xml:space="preserve">12. Monetisation Outlook (Post-MVP)</w:t>
      </w:r>
    </w:p>
    <w:p>
      <w:pPr>
        <w:pBdr>
          <w:bottom w:val="single" w:color="2A9D8F" w:sz="6"/>
        </w:pBdr>
        <w:spacing w:after="160" w:before="60"/>
      </w:pPr>
    </w:p>
    <w:p>
      <w:pPr>
        <w:spacing w:after="120" w:line="276"/>
      </w:pPr>
      <w:r>
        <w:rPr>
          <w:color w:val="334155"/>
          <w:sz w:val="21"/>
          <w:szCs w:val="21"/>
        </w:rPr>
        <w:t xml:space="preserve">The MVP is intentionally pre-revenue to prioritise adoption and trust validation. Once liquidity and retention are demonstrated, the following revenue levers become available without architectural redesign:</w:t>
      </w:r>
    </w:p>
    <w:p>
      <w:pPr>
        <w:pStyle w:val="ListParagraph"/>
        <w:numPr>
          <w:ilvl w:val="0"/>
          <w:numId w:val="2"/>
        </w:numPr>
        <w:spacing w:after="80" w:line="272"/>
      </w:pPr>
      <w:r>
        <w:rPr>
          <w:b/>
          <w:bCs/>
          <w:color w:val="334155"/>
          <w:sz w:val="21"/>
          <w:szCs w:val="21"/>
        </w:rPr>
        <w:t xml:space="preserve">Commission. </w:t>
      </w:r>
      <w:r>
        <w:rPr>
          <w:color w:val="334155"/>
          <w:sz w:val="21"/>
          <w:szCs w:val="21"/>
        </w:rPr>
        <w:t xml:space="preserve">Take-rate commission on bookings, enabled by integrated in-app payments (UPI, cards, wallet).</w:t>
      </w:r>
    </w:p>
    <w:p>
      <w:pPr>
        <w:pStyle w:val="ListParagraph"/>
        <w:numPr>
          <w:ilvl w:val="0"/>
          <w:numId w:val="2"/>
        </w:numPr>
        <w:spacing w:after="80" w:line="272"/>
      </w:pPr>
      <w:r>
        <w:rPr>
          <w:b/>
          <w:bCs/>
          <w:color w:val="334155"/>
          <w:sz w:val="21"/>
          <w:szCs w:val="21"/>
        </w:rPr>
        <w:t xml:space="preserve">Provider subscriptions. </w:t>
      </w:r>
      <w:r>
        <w:rPr>
          <w:color w:val="334155"/>
          <w:sz w:val="21"/>
          <w:szCs w:val="21"/>
        </w:rPr>
        <w:t xml:space="preserve">Featured placement and verified-badge tiers for providers.</w:t>
      </w:r>
    </w:p>
    <w:p>
      <w:pPr>
        <w:pStyle w:val="ListParagraph"/>
        <w:numPr>
          <w:ilvl w:val="0"/>
          <w:numId w:val="2"/>
        </w:numPr>
        <w:spacing w:after="80" w:line="272"/>
      </w:pPr>
      <w:r>
        <w:rPr>
          <w:b/>
          <w:bCs/>
          <w:color w:val="334155"/>
          <w:sz w:val="21"/>
          <w:szCs w:val="21"/>
        </w:rPr>
        <w:t xml:space="preserve">Adjacent services. </w:t>
      </w:r>
      <w:r>
        <w:rPr>
          <w:color w:val="334155"/>
          <w:sz w:val="21"/>
          <w:szCs w:val="21"/>
        </w:rPr>
        <w:t xml:space="preserve">Insurance marketplace, pet e-commerce, food/medicine delivery, and telemedicine referrals.</w:t>
      </w:r>
    </w:p>
    <w:p>
      <w:pPr>
        <w:pStyle w:val="ListParagraph"/>
        <w:numPr>
          <w:ilvl w:val="0"/>
          <w:numId w:val="2"/>
        </w:numPr>
        <w:spacing w:after="80" w:line="272"/>
      </w:pPr>
      <w:r>
        <w:rPr>
          <w:b/>
          <w:bCs/>
          <w:color w:val="334155"/>
          <w:sz w:val="21"/>
          <w:szCs w:val="21"/>
        </w:rPr>
        <w:t xml:space="preserve">Subscriptions. </w:t>
      </w:r>
      <w:r>
        <w:rPr>
          <w:color w:val="334155"/>
          <w:sz w:val="21"/>
          <w:szCs w:val="21"/>
        </w:rPr>
        <w:t xml:space="preserve">Recurring plans for high-frequency services such as daily walking and grooming.</w:t>
      </w:r>
    </w:p>
    <w:p>
      <w:pPr>
        <w:spacing w:after="120" w:line="276"/>
      </w:pPr>
      <w:r>
        <w:rPr>
          <w:b/>
          <w:bCs/>
          <w:i/>
          <w:iCs/>
          <w:color w:val="64748B"/>
          <w:sz w:val="21"/>
          <w:szCs w:val="21"/>
        </w:rPr>
        <w:t xml:space="preserve">Regulatory note: </w:t>
      </w:r>
      <w:r>
        <w:rPr>
          <w:i/>
          <w:iCs/>
          <w:color w:val="64748B"/>
          <w:sz w:val="19"/>
          <w:szCs w:val="19"/>
        </w:rPr>
        <w:t xml:space="preserve">Introducing in-app payments and commission will likely trigger RBI payment-aggregator obligations and GST on commission; these must be scoped before Phase 2.</w:t>
      </w:r>
    </w:p>
    <w:p>
      <w:pPr>
        <w:pStyle w:val="Heading1"/>
        <w:spacing w:after="160" w:before="340"/>
      </w:pPr>
      <w:r>
        <w:rPr>
          <w:b/>
          <w:bCs/>
          <w:color w:val="1F3A5F"/>
          <w:sz w:val="30"/>
          <w:szCs w:val="30"/>
        </w:rPr>
        <w:t xml:space="preserve">13. Approval &amp; Sign-Off</w:t>
      </w:r>
    </w:p>
    <w:p>
      <w:pPr>
        <w:pBdr>
          <w:bottom w:val="single" w:color="2A9D8F" w:sz="6"/>
        </w:pBdr>
        <w:spacing w:after="160" w:before="60"/>
      </w:pPr>
    </w:p>
    <w:p>
      <w:pPr>
        <w:spacing w:after="120" w:line="276"/>
      </w:pPr>
      <w:r>
        <w:rPr>
          <w:color w:val="334155"/>
          <w:sz w:val="21"/>
          <w:szCs w:val="21"/>
        </w:rPr>
        <w:t xml:space="preserve">This BRD requires review and sign-off from the following roles before functional specification (FRD) begins.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900"/>
        <w:gridCol w:w="3260"/>
        <w:gridCol w:w="3200"/>
      </w:tblGrid>
      <w:tr>
        <w:trPr>
          <w:tblHeader/>
        </w:trPr>
        <w:tc>
          <w:tcPr>
            <w:tcW w:type="dxa" w:w="29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Role</w:t>
            </w:r>
          </w:p>
        </w:tc>
        <w:tc>
          <w:tcPr>
            <w:tcW w:type="dxa" w:w="326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Name</w:t>
            </w:r>
          </w:p>
        </w:tc>
        <w:tc>
          <w:tcPr>
            <w:tcW w:type="dxa" w:w="3200"/>
            <w:shd w:fill="1F3A5F" w:color="auto" w:val="clear"/>
            <w:tcMar>
              <w:top w:type="dxa" w:w="70"/>
              <w:left w:type="dxa" w:w="110"/>
              <w:bottom w:type="dxa" w:w="70"/>
              <w:right w:type="dxa" w:w="110"/>
            </w:tcMar>
            <w:vAlign w:val="center"/>
          </w:tcPr>
          <w:p>
            <w:pPr>
              <w:spacing w:after="0" w:line="264"/>
            </w:pPr>
            <w:r>
              <w:rPr>
                <w:b/>
                <w:bCs/>
                <w:color w:val="FFFFFF"/>
                <w:sz w:val="19"/>
                <w:szCs w:val="19"/>
              </w:rPr>
              <w:t xml:space="preserve">Approval / Date</w:t>
            </w:r>
          </w:p>
        </w:tc>
      </w:tr>
      <w:tr>
        <w:tc>
          <w:tcPr>
            <w:tcW w:type="dxa" w:w="2900"/>
            <w:shd w:fill="FFFFFF" w:color="auto" w:val="clear"/>
            <w:tcMar>
              <w:top w:type="dxa" w:w="70"/>
              <w:left w:type="dxa" w:w="110"/>
              <w:bottom w:type="dxa" w:w="70"/>
              <w:right w:type="dxa" w:w="110"/>
            </w:tcMar>
            <w:vAlign w:val="center"/>
          </w:tcPr>
          <w:p>
            <w:pPr>
              <w:spacing w:after="0" w:line="264"/>
            </w:pPr>
            <w:r>
              <w:rPr>
                <w:b/>
                <w:bCs/>
                <w:color w:val="1F3A5F"/>
                <w:sz w:val="19"/>
                <w:szCs w:val="19"/>
              </w:rPr>
              <w:t xml:space="preserve">Chief Information Officer (CIO)</w:t>
            </w:r>
          </w:p>
        </w:tc>
        <w:tc>
          <w:tcPr>
            <w:tcW w:type="dxa" w:w="326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c>
          <w:tcPr>
            <w:tcW w:type="dxa" w:w="320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r>
      <w:tr>
        <w:tc>
          <w:tcPr>
            <w:tcW w:type="dxa" w:w="29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Chief Technology Officer (CTO)</w:t>
            </w:r>
          </w:p>
        </w:tc>
        <w:tc>
          <w:tcPr>
            <w:tcW w:type="dxa" w:w="3260"/>
            <w:shd w:fill="EEF2F6" w:color="auto" w:val="clear"/>
            <w:tcMar>
              <w:top w:type="dxa" w:w="70"/>
              <w:left w:type="dxa" w:w="110"/>
              <w:bottom w:type="dxa" w:w="70"/>
              <w:right w:type="dxa" w:w="110"/>
            </w:tcMar>
            <w:vAlign w:val="center"/>
          </w:tcPr>
          <w:p>
            <w:pPr>
              <w:spacing w:after="0" w:line="264"/>
            </w:pPr>
            <w:r>
              <w:rPr>
                <w:color w:val="334155"/>
                <w:sz w:val="19"/>
                <w:szCs w:val="19"/>
              </w:rPr>
              <w:t xml:space="preserve"/>
            </w:r>
          </w:p>
        </w:tc>
        <w:tc>
          <w:tcPr>
            <w:tcW w:type="dxa" w:w="3200"/>
            <w:shd w:fill="EEF2F6" w:color="auto" w:val="clear"/>
            <w:tcMar>
              <w:top w:type="dxa" w:w="70"/>
              <w:left w:type="dxa" w:w="110"/>
              <w:bottom w:type="dxa" w:w="70"/>
              <w:right w:type="dxa" w:w="110"/>
            </w:tcMar>
            <w:vAlign w:val="center"/>
          </w:tcPr>
          <w:p>
            <w:pPr>
              <w:spacing w:after="0" w:line="264"/>
            </w:pPr>
            <w:r>
              <w:rPr>
                <w:color w:val="334155"/>
                <w:sz w:val="19"/>
                <w:szCs w:val="19"/>
              </w:rPr>
              <w:t xml:space="preserve"/>
            </w:r>
          </w:p>
        </w:tc>
      </w:tr>
      <w:tr>
        <w:tc>
          <w:tcPr>
            <w:tcW w:type="dxa" w:w="2900"/>
            <w:shd w:fill="FFFFFF" w:color="auto" w:val="clear"/>
            <w:tcMar>
              <w:top w:type="dxa" w:w="70"/>
              <w:left w:type="dxa" w:w="110"/>
              <w:bottom w:type="dxa" w:w="70"/>
              <w:right w:type="dxa" w:w="110"/>
            </w:tcMar>
            <w:vAlign w:val="center"/>
          </w:tcPr>
          <w:p>
            <w:pPr>
              <w:spacing w:after="0" w:line="264"/>
            </w:pPr>
            <w:r>
              <w:rPr>
                <w:b/>
                <w:bCs/>
                <w:color w:val="1F3A5F"/>
                <w:sz w:val="19"/>
                <w:szCs w:val="19"/>
              </w:rPr>
              <w:t xml:space="preserve">Lead AI Developer</w:t>
            </w:r>
          </w:p>
        </w:tc>
        <w:tc>
          <w:tcPr>
            <w:tcW w:type="dxa" w:w="326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c>
          <w:tcPr>
            <w:tcW w:type="dxa" w:w="320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r>
      <w:tr>
        <w:tc>
          <w:tcPr>
            <w:tcW w:type="dxa" w:w="2900"/>
            <w:shd w:fill="EEF2F6" w:color="auto" w:val="clear"/>
            <w:tcMar>
              <w:top w:type="dxa" w:w="70"/>
              <w:left w:type="dxa" w:w="110"/>
              <w:bottom w:type="dxa" w:w="70"/>
              <w:right w:type="dxa" w:w="110"/>
            </w:tcMar>
            <w:vAlign w:val="center"/>
          </w:tcPr>
          <w:p>
            <w:pPr>
              <w:spacing w:after="0" w:line="264"/>
            </w:pPr>
            <w:r>
              <w:rPr>
                <w:b/>
                <w:bCs/>
                <w:color w:val="1F3A5F"/>
                <w:sz w:val="19"/>
                <w:szCs w:val="19"/>
              </w:rPr>
              <w:t xml:space="preserve">QA Lead</w:t>
            </w:r>
          </w:p>
        </w:tc>
        <w:tc>
          <w:tcPr>
            <w:tcW w:type="dxa" w:w="3260"/>
            <w:shd w:fill="EEF2F6" w:color="auto" w:val="clear"/>
            <w:tcMar>
              <w:top w:type="dxa" w:w="70"/>
              <w:left w:type="dxa" w:w="110"/>
              <w:bottom w:type="dxa" w:w="70"/>
              <w:right w:type="dxa" w:w="110"/>
            </w:tcMar>
            <w:vAlign w:val="center"/>
          </w:tcPr>
          <w:p>
            <w:pPr>
              <w:spacing w:after="0" w:line="264"/>
            </w:pPr>
            <w:r>
              <w:rPr>
                <w:color w:val="334155"/>
                <w:sz w:val="19"/>
                <w:szCs w:val="19"/>
              </w:rPr>
              <w:t xml:space="preserve"/>
            </w:r>
          </w:p>
        </w:tc>
        <w:tc>
          <w:tcPr>
            <w:tcW w:type="dxa" w:w="3200"/>
            <w:shd w:fill="EEF2F6" w:color="auto" w:val="clear"/>
            <w:tcMar>
              <w:top w:type="dxa" w:w="70"/>
              <w:left w:type="dxa" w:w="110"/>
              <w:bottom w:type="dxa" w:w="70"/>
              <w:right w:type="dxa" w:w="110"/>
            </w:tcMar>
            <w:vAlign w:val="center"/>
          </w:tcPr>
          <w:p>
            <w:pPr>
              <w:spacing w:after="0" w:line="264"/>
            </w:pPr>
            <w:r>
              <w:rPr>
                <w:color w:val="334155"/>
                <w:sz w:val="19"/>
                <w:szCs w:val="19"/>
              </w:rPr>
              <w:t xml:space="preserve"/>
            </w:r>
          </w:p>
        </w:tc>
      </w:tr>
      <w:tr>
        <w:tc>
          <w:tcPr>
            <w:tcW w:type="dxa" w:w="2900"/>
            <w:shd w:fill="FFFFFF" w:color="auto" w:val="clear"/>
            <w:tcMar>
              <w:top w:type="dxa" w:w="70"/>
              <w:left w:type="dxa" w:w="110"/>
              <w:bottom w:type="dxa" w:w="70"/>
              <w:right w:type="dxa" w:w="110"/>
            </w:tcMar>
            <w:vAlign w:val="center"/>
          </w:tcPr>
          <w:p>
            <w:pPr>
              <w:spacing w:after="0" w:line="264"/>
            </w:pPr>
            <w:r>
              <w:rPr>
                <w:b/>
                <w:bCs/>
                <w:color w:val="1F3A5F"/>
                <w:sz w:val="19"/>
                <w:szCs w:val="19"/>
              </w:rPr>
              <w:t xml:space="preserve">Product Owner</w:t>
            </w:r>
          </w:p>
        </w:tc>
        <w:tc>
          <w:tcPr>
            <w:tcW w:type="dxa" w:w="326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c>
          <w:tcPr>
            <w:tcW w:type="dxa" w:w="3200"/>
            <w:shd w:fill="FFFFFF" w:color="auto" w:val="clear"/>
            <w:tcMar>
              <w:top w:type="dxa" w:w="70"/>
              <w:left w:type="dxa" w:w="110"/>
              <w:bottom w:type="dxa" w:w="70"/>
              <w:right w:type="dxa" w:w="110"/>
            </w:tcMar>
            <w:vAlign w:val="center"/>
          </w:tcPr>
          <w:p>
            <w:pPr>
              <w:spacing w:after="0" w:line="264"/>
            </w:pPr>
            <w:r>
              <w:rPr>
                <w:color w:val="334155"/>
                <w:sz w:val="19"/>
                <w:szCs w:val="19"/>
              </w:rPr>
              <w:t xml:space="preserve"/>
            </w:r>
          </w:p>
        </w:tc>
      </w:tr>
    </w:tbl>
    <w:p>
      <w:pPr>
        <w:spacing w:after="160"/>
      </w:pPr>
    </w:p>
    <w:p>
      <w:pPr>
        <w:jc w:val="center"/>
      </w:pPr>
      <w:r>
        <w:rPr>
          <w:i/>
          <w:iCs/>
          <w:color w:val="64748B"/>
          <w:sz w:val="19"/>
          <w:szCs w:val="19"/>
        </w:rPr>
        <w:t xml:space="preserve">— End of Business Requirements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40"/>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40"/>
      <w:jc w:val="right"/>
    </w:pPr>
    <w:r>
      <w:rPr>
        <w:color w:val="64748B"/>
        <w:sz w:val="16"/>
        <w:szCs w:val="16"/>
      </w:rPr>
      <w:t xml:space="preserve">PetCare Super App  ·  BRD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Super App — Business Requirements Document</dc:title>
  <dc:creator>Office of the CIO</dc:creator>
  <cp:lastModifiedBy>Un-named</cp:lastModifiedBy>
  <cp:revision>1</cp:revision>
  <dcterms:created xsi:type="dcterms:W3CDTF">2026-07-03T17:19:35.879Z</dcterms:created>
  <dcterms:modified xsi:type="dcterms:W3CDTF">2026-07-03T17:19:35.890Z</dcterms:modified>
</cp:coreProperties>
</file>

<file path=docProps/custom.xml><?xml version="1.0" encoding="utf-8"?>
<Properties xmlns="http://schemas.openxmlformats.org/officeDocument/2006/custom-properties" xmlns:vt="http://schemas.openxmlformats.org/officeDocument/2006/docPropsVTypes"/>
</file>