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  <w:spacing w:before="0" w:after="460" w:line="240" w:lineRule="auto"/>
        <w:jc w:val="center"/>
      </w:pPr>
      <w:r>
        <w:rPr>
          <w:rFonts w:ascii="Arial" w:hAnsi="Arial" w:cs="Arial" w:eastAsia="Arial"/>
          <w:b/>
          <w:bCs/>
          <w:color w:val="1A264C"/>
          <w:sz w:val="32"/>
          <w:szCs w:val="32"/>
        </w:rPr>
        <w:t xml:space="preserve">Batch 2 DOCX Format Replication &amp; Typography Audit</w:t>
      </w:r>
    </w:p>
    <w:p>
      <w:pPr>
        <w:pStyle w:val="Heading1"/>
        <w:keepNext/>
        <w:spacing w:before="460" w:after="280" w:line="240" w:lineRule="auto"/>
      </w:pPr>
      <w:r>
        <w:rPr>
          <w:rFonts w:ascii="Arial" w:hAnsi="Arial" w:cs="Arial" w:eastAsia="Arial"/>
          <w:b/>
          <w:bCs/>
          <w:color w:val="1A1A1A"/>
          <w:sz w:val="26"/>
          <w:szCs w:val="26"/>
        </w:rPr>
        <w:t xml:space="preserve">1. Overview of Structured Document Layout</w:t>
      </w:r>
    </w:p>
    <w:p>
      <w:pPr>
        <w:spacing w:before="280" w:after="320" w:line="240" w:lineRule="auto"/>
      </w:pPr>
      <w:r>
        <w:rPr>
          <w:rFonts w:ascii="Arial" w:hAnsi="Arial" w:cs="Arial" w:eastAsia="Arial"/>
          <w:color w:val="262626"/>
          <w:sz w:val="20"/>
          <w:szCs w:val="20"/>
        </w:rPr>
        <w:t xml:space="preserve">This specification establishes precision standards for converting complex PDF documents into Word Processing</w:t>
      </w:r>
      <w:r>
        <w:rPr>
          <w:rFonts w:ascii="Arial" w:hAnsi="Arial" w:cs="Arial" w:eastAsia="Arial"/>
          <w:color w:val="262626"/>
          <w:sz w:val="20"/>
          <w:szCs w:val="20"/>
        </w:rPr>
        <w:t xml:space="preserve"> ML representations while faithfully preserving indentation hierarchies, inter-block gaps, and alignment types.</w:t>
      </w:r>
      <w:r>
        <w:rPr>
          <w:rFonts w:ascii="Arial" w:hAnsi="Arial" w:cs="Arial" w:eastAsia="Arial"/>
          <w:color w:val="262626"/>
          <w:sz w:val="20"/>
          <w:szCs w:val="20"/>
        </w:rPr>
        <w:t xml:space="preserve"> All layout coordinates are calibrated to fractional typographic units.</w:t>
      </w:r>
    </w:p>
    <w:p>
      <w:pPr>
        <w:spacing w:before="320" w:after="200" w:line="240" w:lineRule="auto"/>
        <w:ind w:left="360" w:hanging="360"/>
      </w:pPr>
      <w:r>
        <w:rPr>
          <w:rFonts w:ascii="Arial" w:hAnsi="Arial" w:cs="Arial" w:eastAsia="Arial"/>
          <w:b/>
          <w:bCs/>
          <w:color w:val="1A1A1A"/>
          <w:sz w:val="20"/>
          <w:szCs w:val="20"/>
        </w:rPr>
        <w:t xml:space="preserve">1.</w:t>
      </w:r>
      <w:r>
        <w:rPr>
          <w:rFonts w:ascii="Arial" w:hAnsi="Arial" w:cs="Arial" w:eastAsia="Arial"/>
          <w:color w:val="1A1A1A"/>
          <w:sz w:val="20"/>
          <w:szCs w:val="20"/>
        </w:rPr>
        <w:t xml:space="preserve"> First level numbered requirement establishing strict structural integrity criteria across all endpoints</w:t>
      </w:r>
      <w:r>
        <w:rPr>
          <w:rFonts w:ascii="Arial" w:hAnsi="Arial" w:cs="Arial" w:eastAsia="Arial"/>
          <w:color w:val="1A1A1A"/>
          <w:sz w:val="20"/>
          <w:szCs w:val="20"/>
        </w:rPr>
        <w:t xml:space="preserve"> ensuring that continuation lines automatically inherit the parent hanging indentation rule.</w:t>
      </w:r>
    </w:p>
    <w:p>
      <w:pPr>
        <w:spacing w:before="200" w:after="280" w:line="240" w:lineRule="auto"/>
        <w:ind w:left="720" w:hanging="360"/>
      </w:pPr>
      <w:r>
        <w:rPr>
          <w:rFonts w:ascii="Arial" w:hAnsi="Arial" w:cs="Arial" w:eastAsia="Arial"/>
          <w:b/>
          <w:bCs/>
          <w:color w:val="1A1A1A"/>
          <w:sz w:val="20"/>
          <w:szCs w:val="20"/>
        </w:rPr>
        <w:t xml:space="preserve">a.</w:t>
      </w:r>
      <w:r>
        <w:rPr>
          <w:rFonts w:ascii="Arial" w:hAnsi="Arial" w:cs="Arial" w:eastAsia="Arial"/>
          <w:color w:val="1A1A1A"/>
          <w:sz w:val="20"/>
          <w:szCs w:val="20"/>
        </w:rPr>
        <w:t xml:space="preserve"> Secondary nested sub-requirement defining cryptographic token validation protocols for distributed microservices</w:t>
      </w:r>
      <w:r>
        <w:rPr>
          <w:rFonts w:ascii="Arial" w:hAnsi="Arial" w:cs="Arial" w:eastAsia="Arial"/>
          <w:color w:val="1A1A1A"/>
          <w:sz w:val="20"/>
          <w:szCs w:val="20"/>
        </w:rPr>
        <w:t xml:space="preserve"> operating within air-gapped regional infrastructure nodes.</w:t>
      </w:r>
    </w:p>
    <w:p>
      <w:pPr>
        <w:spacing w:before="280" w:after="160" w:line="240" w:lineRule="auto"/>
        <w:ind w:left="720"/>
      </w:pPr>
      <w:r>
        <w:rPr>
          <w:rFonts w:ascii="Arial" w:hAnsi="Arial" w:cs="Arial" w:eastAsia="Arial"/>
          <w:i/>
          <w:iCs/>
          <w:color w:val="333333"/>
          <w:sz w:val="20"/>
          <w:szCs w:val="20"/>
        </w:rPr>
        <w:t xml:space="preserve">Level 2 nested block indented at 108 pt demonstrating multi-tier indentation inheritance.</w:t>
      </w:r>
    </w:p>
    <w:p>
      <w:pPr>
        <w:spacing w:before="160" w:after="160" w:line="240" w:lineRule="auto"/>
        <w:ind w:left="1080"/>
      </w:pPr>
      <w:r>
        <w:rPr>
          <w:rFonts w:ascii="Arial" w:hAnsi="Arial" w:cs="Arial" w:eastAsia="Arial"/>
          <w:i/>
          <w:iCs/>
          <w:color w:val="404040"/>
          <w:sz w:val="20"/>
          <w:szCs w:val="20"/>
        </w:rPr>
        <w:t xml:space="preserve">Level 3 nested block indented at 126 pt proving discrete indent level tracking.</w:t>
      </w:r>
    </w:p>
    <w:p>
      <w:pPr>
        <w:spacing w:before="160" w:after="360" w:line="240" w:lineRule="auto"/>
        <w:ind w:left="1440"/>
      </w:pPr>
      <w:r>
        <w:rPr>
          <w:rFonts w:ascii="Arial" w:hAnsi="Arial" w:cs="Arial" w:eastAsia="Arial"/>
          <w:i/>
          <w:iCs/>
          <w:color w:val="4C4C4C"/>
          <w:sz w:val="20"/>
          <w:szCs w:val="20"/>
        </w:rPr>
        <w:t xml:space="preserve">Level 4 nested block indented at 144 pt verifying maximum specified nesting depth.</w:t>
      </w:r>
    </w:p>
    <w:p>
      <w:pPr>
        <w:spacing w:before="360" w:after="400" w:line="240" w:lineRule="auto"/>
        <w:ind w:firstLine="360"/>
      </w:pPr>
      <w:r>
        <w:rPr>
          <w:rFonts w:ascii="Arial" w:hAnsi="Arial" w:cs="Arial" w:eastAsia="Arial"/>
          <w:color w:val="262626"/>
          <w:sz w:val="20"/>
          <w:szCs w:val="20"/>
        </w:rPr>
        <w:t xml:space="preserve">Explanation: This detailed commentary provides comprehensive insights into the underlying algorithmic</w:t>
      </w:r>
      <w:r>
        <w:rPr>
          <w:rFonts w:ascii="Arial" w:hAnsi="Arial" w:cs="Arial" w:eastAsia="Arial"/>
          <w:color w:val="262626"/>
          <w:sz w:val="20"/>
          <w:szCs w:val="20"/>
        </w:rPr>
        <w:t xml:space="preserve"> framework that guarantees parity between visual layout geometry and document semantics, ensuring</w:t>
      </w:r>
      <w:r>
        <w:rPr>
          <w:rFonts w:ascii="Arial" w:hAnsi="Arial" w:cs="Arial" w:eastAsia="Arial"/>
          <w:color w:val="262626"/>
          <w:sz w:val="20"/>
          <w:szCs w:val="20"/>
        </w:rPr>
        <w:t xml:space="preserve"> that exported Word documents maintain natural paragraph reflow across disparate viewing devices.</w:t>
      </w:r>
    </w:p>
    <w:p>
      <w:pPr>
        <w:spacing w:before="400" w:after="60" w:line="240" w:lineRule="auto"/>
        <w:ind w:left="5355"/>
      </w:pPr>
      <w:r>
        <w:rPr>
          <w:rFonts w:ascii="Arial" w:hAnsi="Arial" w:cs="Arial" w:eastAsia="Arial"/>
          <w:color w:val="4C4C4C"/>
          <w:sz w:val="20"/>
          <w:szCs w:val="20"/>
        </w:rPr>
        <w:t xml:space="preserve">Authorized by Chief Information Security Officer</w:t>
      </w:r>
    </w:p>
    <w:p>
      <w:pPr>
        <w:spacing w:before="60" w:after="60" w:line="240" w:lineRule="auto"/>
        <w:ind w:left="5226"/>
      </w:pPr>
      <w:r>
        <w:rPr>
          <w:rFonts w:ascii="Arial" w:hAnsi="Arial" w:cs="Arial" w:eastAsia="Arial"/>
          <w:color w:val="4C4C4C"/>
          <w:sz w:val="20"/>
          <w:szCs w:val="20"/>
        </w:rPr>
        <w:t xml:space="preserve">Division of Enterprise Architecture &amp; Governance</w:t>
      </w:r>
    </w:p>
    <w:p>
      <w:pPr>
        <w:spacing w:before="60" w:after="340" w:line="240" w:lineRule="auto"/>
        <w:ind w:left="7553"/>
      </w:pPr>
      <w:r>
        <w:rPr>
          <w:rFonts w:ascii="Arial" w:hAnsi="Arial" w:cs="Arial" w:eastAsia="Arial"/>
          <w:color w:val="4C4C4C"/>
          <w:sz w:val="20"/>
          <w:szCs w:val="20"/>
        </w:rPr>
        <w:t xml:space="preserve">Issued: October 2026</w:t>
      </w:r>
    </w:p>
    <w:p>
      <w:pPr>
        <w:spacing w:before="340" w:after="0" w:line="240" w:lineRule="auto"/>
      </w:pPr>
      <w:r>
        <w:rPr>
          <w:rFonts w:ascii="Arial" w:hAnsi="Arial" w:cs="Arial" w:eastAsia="Arial"/>
          <w:b/>
          <w:bCs/>
          <w:color w:val="333333"/>
          <w:sz w:val="18"/>
          <w:szCs w:val="18"/>
        </w:rPr>
        <w:t xml:space="preserve">Office of Document Verification</w:t>
      </w:r>
      <w:r>
        <w:br/>
      </w:r>
      <w:r>
        <w:rPr>
          <w:rFonts w:ascii="Arial" w:hAnsi="Arial" w:cs="Arial" w:eastAsia="Arial"/>
          <w:color w:val="333333"/>
          <w:sz w:val="18"/>
          <w:szCs w:val="18"/>
        </w:rPr>
        <w:t xml:space="preserve">100 Technology Plaza, Suite 400</w:t>
      </w:r>
      <w:r>
        <w:br/>
      </w:r>
      <w:r>
        <w:rPr>
          <w:rFonts w:ascii="Arial" w:hAnsi="Arial" w:cs="Arial" w:eastAsia="Arial"/>
          <w:color w:val="333333"/>
          <w:sz w:val="18"/>
          <w:szCs w:val="18"/>
        </w:rPr>
        <w:t xml:space="preserve">San Jose, California 95110</w:t>
      </w:r>
    </w:p>
    <w:sectPr>
      <w:pgSz w:w="12240" w:h="15840" w:orient="portrait"/>
      <w:pgMar w:top="720" w:right="87" w:bottom="7080" w:left="144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</w:pPr>
    <w:rPr>
      <w:rFonts w:ascii="Calibri Light" w:hAnsi="Calibri Light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60" w:after="40"/>
    </w:pPr>
    <w:rPr>
      <w:rFonts w:ascii="Calibri Light" w:hAnsi="Calibri Light"/>
      <w:b/>
      <w:bCs/>
      <w:color w:val="2F5496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