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  <w:color w:val="1E293B"/>
        </w:rPr>
        <w:t>Quarterly Business Performance 2026</w:t>
      </w:r>
    </w:p>
    <w:p>
      <w:r>
        <w:rPr>
          <w:sz w:val="24"/>
          <w:color w:val="334155"/>
        </w:rPr>
        <w:t>Key Metrics and Revenue Growth:</w:t>
      </w:r>
    </w:p>
    <w:p>
      <w:r>
        <w:rPr>
          <w:sz w:val="24"/>
          <w:color w:val="334155"/>
        </w:rPr>
        <w:t>- Total Revenue: $4,250,000 (+18% YoY)</w:t>
      </w:r>
    </w:p>
    <w:p>
      <w:r>
        <w:rPr>
          <w:sz w:val="24"/>
          <w:color w:val="334155"/>
        </w:rPr>
        <w:t>- Active Enterprise Users: 142,500 clients</w:t>
      </w:r>
    </w:p>
    <w:p>
      <w:r>
        <w:rPr>
          <w:sz w:val="24"/>
          <w:color w:val="334155"/>
        </w:rPr>
        <w:t>- Client-Side Privacy Compliance: 100% Zero-Leak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1E293B"/>
        </w:rPr>
        <w:t>Engineering Roadmap &amp; Architecture</w:t>
      </w:r>
    </w:p>
    <w:p>
      <w:r>
        <w:rPr>
          <w:sz w:val="24"/>
          <w:color w:val="334155"/>
        </w:rPr>
        <w:t>Core deliverables for next quarter:</w:t>
      </w:r>
    </w:p>
    <w:p>
      <w:r>
        <w:rPr>
          <w:sz w:val="24"/>
          <w:color w:val="334155"/>
        </w:rPr>
        <w:t>- Offline WebAssembly transcoding pipeline</w:t>
      </w:r>
    </w:p>
    <w:p>
      <w:r>
        <w:rPr>
          <w:sz w:val="24"/>
          <w:color w:val="334155"/>
        </w:rPr>
        <w:t>- Native ECMA-376 Office document export</w:t>
      </w:r>
    </w:p>
  </w:body>
</w:document>
</file>