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11 Janvier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Personnes présentes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Objet de la réunion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Cours GP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Décisions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Choix de design pour différents item de l’interface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*Arbre de compétence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*Boutons d’activation de compétences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2070"/>
        <w:gridCol w:w="1845"/>
        <w:tblGridChange w:id="0">
          <w:tblGrid>
            <w:gridCol w:w="5100"/>
            <w:gridCol w:w="207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Terminer de corriger les documents de GP (Matrice des risques, matrice RACI, Planning)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18/01/2018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Informations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Commencement de la préparation de la soutenance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Rédaction du script de la présentation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Polissage des derniers documents,</w:t>
      </w:r>
      <w:r w:rsidDel="00000000" w:rsidR="00000000" w:rsidRPr="00000000">
        <w:rPr>
          <w:b w:val="1"/>
          <w:color w:val="980000"/>
          <w:rtl w:val="0"/>
        </w:rPr>
        <w:t xml:space="preserve"> toujours en cours, et à terminer pour la soutenance, voir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