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6.png" ContentType="image/pn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2 «Информационные системы и сети»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>2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«Моделирование и расчет электрических цепей с помощью </w:t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теорем об эквивалентном источнике»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«Основы электроники»</w:t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75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2"/>
        <w:gridCol w:w="312"/>
        <w:gridCol w:w="2518"/>
        <w:gridCol w:w="283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2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51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Н.С.</w:t>
            </w:r>
          </w:p>
        </w:tc>
        <w:tc>
          <w:tcPr>
            <w:tcW w:w="283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1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283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2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51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Полпудников С. В.</w:t>
            </w:r>
          </w:p>
        </w:tc>
        <w:tc>
          <w:tcPr>
            <w:tcW w:w="283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1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283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формирование практических навыков использования методов для расчета электрических цепей, опирающихся на теоремы об эквивалентном источнике.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О</w:t>
      </w:r>
      <w:r>
        <w:rPr>
          <w:b w:val="false"/>
          <w:bCs w:val="false"/>
          <w:sz w:val="28"/>
          <w:szCs w:val="28"/>
        </w:rPr>
        <w:t>пределение значения тока в ветви с помощью моделирования схемы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О</w:t>
      </w:r>
      <w:r>
        <w:rPr>
          <w:b w:val="false"/>
          <w:bCs w:val="false"/>
          <w:sz w:val="28"/>
          <w:szCs w:val="28"/>
        </w:rPr>
        <w:t>пределение значения тока в ветви с использованием теорем об эквивалентном источнике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</w:rPr>
        <w:t>4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Исследуемая электрическая схема: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6300470" cy="160655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Моделирование схемы: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6300470" cy="397192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Определение напряжения холостого хода:</w:t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6300470" cy="3885565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>
          <w:b/>
          <w:bCs/>
          <w:sz w:val="32"/>
          <w:szCs w:val="28"/>
          <w:u w:val="none"/>
        </w:rPr>
      </w:pPr>
      <w:r>
        <w:rPr>
          <w:b/>
          <w:bCs/>
          <w:sz w:val="32"/>
          <w:szCs w:val="28"/>
          <w:u w:val="none"/>
        </w:rPr>
        <w:t>U</w:t>
      </w:r>
      <w:r>
        <w:rPr>
          <w:b/>
          <w:bCs/>
          <w:sz w:val="32"/>
          <w:szCs w:val="28"/>
          <w:u w:val="none"/>
          <w:vertAlign w:val="subscript"/>
        </w:rPr>
        <w:t xml:space="preserve">xx </w:t>
      </w:r>
      <w:r>
        <w:rPr>
          <w:b/>
          <w:bCs/>
          <w:position w:val="0"/>
          <w:sz w:val="32"/>
          <w:sz w:val="32"/>
          <w:szCs w:val="28"/>
          <w:u w:val="none"/>
          <w:vertAlign w:val="baseline"/>
        </w:rPr>
        <w:t>= 26 В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</w:rPr>
        <w:t>Определение тока короткого замыкания: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</w:rPr>
        <w:drawing>
          <wp:inline distT="0" distB="0" distL="0" distR="0">
            <wp:extent cx="6300470" cy="3885565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>
          <w:sz w:val="32"/>
          <w:szCs w:val="24"/>
        </w:rPr>
      </w:pPr>
      <w:r>
        <w:rPr>
          <w:b/>
          <w:bCs/>
          <w:sz w:val="32"/>
          <w:szCs w:val="24"/>
        </w:rPr>
        <w:t>I</w:t>
      </w:r>
      <w:r>
        <w:rPr>
          <w:b/>
          <w:bCs/>
          <w:sz w:val="32"/>
          <w:szCs w:val="24"/>
          <w:vertAlign w:val="subscript"/>
        </w:rPr>
        <w:t>кз</w:t>
      </w:r>
      <w:r>
        <w:rPr>
          <w:b/>
          <w:bCs/>
          <w:position w:val="0"/>
          <w:sz w:val="32"/>
          <w:sz w:val="32"/>
          <w:szCs w:val="24"/>
          <w:vertAlign w:val="baseline"/>
        </w:rPr>
        <w:t xml:space="preserve"> = 2.17 А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Определение сопротивления между зажимами:</w:t>
      </w:r>
    </w:p>
    <w:p>
      <w:pPr>
        <w:pStyle w:val="Normal"/>
        <w:spacing w:lineRule="auto" w:line="276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Cs/>
          <w:sz w:val="32"/>
          <w:szCs w:val="28"/>
        </w:rPr>
      </w:pPr>
      <w:r>
        <w:rPr>
          <w:b/>
          <w:bCs/>
          <w:i w:val="false"/>
          <w:iCs w:val="false"/>
          <w:sz w:val="32"/>
          <w:szCs w:val="28"/>
        </w:rPr>
        <w:t>R</w:t>
      </w:r>
      <w:r>
        <w:rPr>
          <w:b/>
          <w:bCs/>
          <w:i w:val="false"/>
          <w:iCs w:val="false"/>
          <w:sz w:val="32"/>
          <w:szCs w:val="28"/>
          <w:vertAlign w:val="subscript"/>
        </w:rPr>
        <w:t>ab</w:t>
      </w:r>
      <w:r>
        <w:rPr>
          <w:b/>
          <w:bCs/>
          <w:i w:val="false"/>
          <w:iCs w:val="false"/>
          <w:position w:val="0"/>
          <w:sz w:val="32"/>
          <w:sz w:val="32"/>
          <w:szCs w:val="28"/>
          <w:vertAlign w:val="baseline"/>
        </w:rPr>
        <w:t xml:space="preserve"> = U</w:t>
      </w:r>
      <w:r>
        <w:rPr>
          <w:b/>
          <w:bCs/>
          <w:i w:val="false"/>
          <w:iCs w:val="false"/>
          <w:sz w:val="32"/>
          <w:szCs w:val="28"/>
          <w:vertAlign w:val="subscript"/>
        </w:rPr>
        <w:t xml:space="preserve">xx </w:t>
      </w:r>
      <w:r>
        <w:rPr>
          <w:b/>
          <w:bCs/>
          <w:i w:val="false"/>
          <w:iCs w:val="false"/>
          <w:position w:val="0"/>
          <w:sz w:val="32"/>
          <w:sz w:val="32"/>
          <w:szCs w:val="28"/>
          <w:vertAlign w:val="baseline"/>
        </w:rPr>
        <w:t>/ I</w:t>
      </w:r>
      <w:r>
        <w:rPr>
          <w:b/>
          <w:bCs/>
          <w:i w:val="false"/>
          <w:iCs w:val="false"/>
          <w:sz w:val="32"/>
          <w:szCs w:val="28"/>
          <w:vertAlign w:val="subscript"/>
        </w:rPr>
        <w:t>кз</w:t>
      </w:r>
      <w:r>
        <w:rPr>
          <w:b/>
          <w:bCs/>
          <w:i w:val="false"/>
          <w:iCs w:val="false"/>
          <w:position w:val="0"/>
          <w:sz w:val="32"/>
          <w:sz w:val="32"/>
          <w:szCs w:val="28"/>
          <w:vertAlign w:val="baseline"/>
        </w:rPr>
        <w:t xml:space="preserve"> = 26 / 2.17 = 11.98 Ом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Расчётная часть:</w:t>
      </w:r>
      <w:r>
        <w:br w:type="page"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выполнения данной лабораторной работы были сформированы практические навыки моделирования электрических цепей и методов для расчета электрических цепей, опирающихся на теоремы об эквивалентном источнике</w:t>
      </w:r>
    </w:p>
    <w:sectPr>
      <w:footerReference w:type="even" r:id="rId11"/>
      <w:footerReference w:type="default" r:id="rId12"/>
      <w:footerReference w:type="first" r:id="rId13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000"/>
        </w:tabs>
        <w:ind w:left="1000" w:hanging="360"/>
      </w:pPr>
      <w:rPr/>
    </w:lvl>
    <w:lvl w:ilvl="1">
      <w:start w:val="1"/>
      <w:numFmt w:val="decimal"/>
      <w:lvlText w:val="%2."/>
      <w:lvlJc w:val="left"/>
      <w:pPr>
        <w:tabs>
          <w:tab w:val="num" w:pos="1360"/>
        </w:tabs>
        <w:ind w:left="1360" w:hanging="360"/>
      </w:pPr>
      <w:rPr/>
    </w:lvl>
    <w:lvl w:ilvl="2">
      <w:start w:val="1"/>
      <w:numFmt w:val="decimal"/>
      <w:lvlText w:val="%3."/>
      <w:lvlJc w:val="left"/>
      <w:pPr>
        <w:tabs>
          <w:tab w:val="num" w:pos="1720"/>
        </w:tabs>
        <w:ind w:left="1720" w:hanging="360"/>
      </w:pPr>
      <w:rPr/>
    </w:lvl>
    <w:lvl w:ilvl="3">
      <w:start w:val="1"/>
      <w:numFmt w:val="decimal"/>
      <w:lvlText w:val="%4."/>
      <w:lvlJc w:val="left"/>
      <w:pPr>
        <w:tabs>
          <w:tab w:val="num" w:pos="2080"/>
        </w:tabs>
        <w:ind w:left="2080" w:hanging="360"/>
      </w:pPr>
      <w:rPr/>
    </w:lvl>
    <w:lvl w:ilvl="4">
      <w:start w:val="1"/>
      <w:numFmt w:val="decimal"/>
      <w:lvlText w:val="%5."/>
      <w:lvlJc w:val="left"/>
      <w:pPr>
        <w:tabs>
          <w:tab w:val="num" w:pos="2440"/>
        </w:tabs>
        <w:ind w:left="2440" w:hanging="360"/>
      </w:pPr>
      <w:rPr/>
    </w:lvl>
    <w:lvl w:ilvl="5">
      <w:start w:val="1"/>
      <w:numFmt w:val="decimal"/>
      <w:lvlText w:val="%6."/>
      <w:lvlJc w:val="left"/>
      <w:pPr>
        <w:tabs>
          <w:tab w:val="num" w:pos="2800"/>
        </w:tabs>
        <w:ind w:left="2800" w:hanging="360"/>
      </w:pPr>
      <w:rPr/>
    </w:lvl>
    <w:lvl w:ilvl="6">
      <w:start w:val="1"/>
      <w:numFmt w:val="decimal"/>
      <w:lvlText w:val="%7."/>
      <w:lvlJc w:val="left"/>
      <w:pPr>
        <w:tabs>
          <w:tab w:val="num" w:pos="3160"/>
        </w:tabs>
        <w:ind w:left="3160" w:hanging="360"/>
      </w:pPr>
      <w:rPr/>
    </w:lvl>
    <w:lvl w:ilvl="7">
      <w:start w:val="1"/>
      <w:numFmt w:val="decimal"/>
      <w:lvlText w:val="%8."/>
      <w:lvlJc w:val="left"/>
      <w:pPr>
        <w:tabs>
          <w:tab w:val="num" w:pos="3520"/>
        </w:tabs>
        <w:ind w:left="3520" w:hanging="360"/>
      </w:pPr>
      <w:rPr/>
    </w:lvl>
    <w:lvl w:ilvl="8">
      <w:start w:val="1"/>
      <w:numFmt w:val="decimal"/>
      <w:lvlText w:val="%9."/>
      <w:lvlJc w:val="left"/>
      <w:pPr>
        <w:tabs>
          <w:tab w:val="num" w:pos="3880"/>
        </w:tabs>
        <w:ind w:left="38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9851</TotalTime>
  <Application>LibreOffice/24.2.6.2$Linux_X86_64 LibreOffice_project/420$Build-2</Application>
  <AppVersion>15.0000</AppVersion>
  <Pages>5</Pages>
  <Words>202</Words>
  <Characters>1390</Characters>
  <CharactersWithSpaces>1548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2024-10-30T23:24:44Z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