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«Разработка программного кода. Стандарт кодирования»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6" w:right="1136" w:gutter="0" w:header="0" w:top="1136" w:footer="1136" w:bottom="156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формирование практических навыков следования стандарту кодирования при разработке программного обеспечения.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стандарты кодирования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рефакторинг кода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Составить таблицу идентефикаторов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3"/>
        <w:keepNext w:val="true"/>
        <w:keepLines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  <w:t>Вариант 4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lang w:val="ru-RU"/>
        </w:rPr>
        <w:t>Квадратную матрицу 17</w:t>
      </w:r>
      <w:r>
        <w:rPr/>
        <w:t>x</w:t>
      </w: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5057140</wp:posOffset>
            </wp:positionH>
            <wp:positionV relativeFrom="paragraph">
              <wp:posOffset>468630</wp:posOffset>
            </wp:positionV>
            <wp:extent cx="1212850" cy="1151890"/>
            <wp:effectExtent l="0" t="0" r="0" b="0"/>
            <wp:wrapSquare wrapText="bothSides"/>
            <wp:docPr id="3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17 заполнить случайными числами из диапазона [-12.. 12], вывести ее на экран.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lang w:val="ru-RU"/>
        </w:rPr>
        <w:t xml:space="preserve">а) К каждому элементу  целочисленной матрицы прибавить сумму  цифр элемента, стоящего в этой же строке на побочной диагонали. 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lang w:val="ru-RU"/>
        </w:rPr>
        <w:t xml:space="preserve">б) Проверить, содержит строка, номер которой введен с клавиатуры, знакочередующиеся элементы.   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sz w:val="28"/>
          <w:szCs w:val="28"/>
          <w:lang w:val="ru-RU"/>
        </w:rPr>
        <w:t>в) Указать номер строки и столбца  первого нулевого элемента среди элементов матрицы, выделенных чёрным цветом (матрица квадратная).</w:t>
        <w:tab/>
        <w:tab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&lt;cstdlib&gt;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MATRIX_SIZE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17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matrix[MATRIX_SIZE][MATRIX_SIZE];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numberOfRow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bool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tempOfNegative, flag = true;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10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generateRandomMatrix()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j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matrix[i][j] = rand() %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-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21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printMatrix()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j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std::cout &lt;&lt; matrix[i][j]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std::endl;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33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calculateDigitSum(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number)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abs(number /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+ number %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38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modifyMatrix()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j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matrix[i][j] += calculateDigitSum(matrix[i][MATRIX_SIZE -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- i]);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48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49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bool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isNegative(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number)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number &lt;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53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54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checkRowForAlternatingSigns()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std::cin &gt;&gt; numberOfRow;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j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(isNegative(matrix[numberOfRow][j]) == isNegative(matrix[numberOfRow][j -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]))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flag = false;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break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flag &lt;&lt; std::endl;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67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68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findFirstZeroElement()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flag = true;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 = MATRIX_SIZE /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j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(matrix[i][j] ==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std::cout &lt;&lt; i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j &lt;&lt; std::endl;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flag = false;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break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(!flag)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break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88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89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90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91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generateRandomMatrix();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92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modifyMatrix();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93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checkRowForAlternatingSigns();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94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findFirstZeroElement();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95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96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идентефикаторов: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sz w:val="11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sz w:val="11"/>
        </w:rPr>
      </w:r>
    </w:p>
    <w:tbl>
      <w:tblPr>
        <w:tblStyle w:val="TableNormal"/>
        <w:tblW w:w="9859" w:type="dxa"/>
        <w:jc w:val="left"/>
        <w:tblInd w:w="12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287"/>
        <w:gridCol w:w="2503"/>
        <w:gridCol w:w="4069"/>
      </w:tblGrid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Идентификаторы </w:t>
            </w:r>
            <w:r>
              <w:rPr>
                <w:kern w:val="0"/>
                <w:sz w:val="24"/>
                <w:szCs w:val="22"/>
              </w:rPr>
              <w:t xml:space="preserve">– </w:t>
            </w:r>
            <w:r>
              <w:rPr>
                <w:kern w:val="0"/>
                <w:sz w:val="24"/>
                <w:szCs w:val="22"/>
                <w:lang w:val="ru-RU" w:eastAsia="en-US"/>
              </w:rPr>
              <w:t>это последовательность символов, используемая для обозначения имени объекта или переменной, имени класса, структуры или объединения</w:t>
            </w:r>
          </w:p>
          <w:p>
            <w:pPr>
              <w:pStyle w:val="TableParagraph"/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10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Американский английский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en-US" w:eastAsia="en-US"/>
              </w:rPr>
              <w:t>Upper/Lower Camel casing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Важно, чтобы все идентификаторы были легко читаемыми (и произносимыми вслух) и понятными, а не максимально короткими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Именованные константы (включая значения перечислений) должны быть записаны в верхнем регистре с нижним подчёркиванием в качестве разделителя</w:t>
            </w:r>
          </w:p>
        </w:tc>
      </w:tr>
      <w:tr>
        <w:trPr>
          <w:trHeight w:val="277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Имя идентификатора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Условный перевод</w:t>
            </w:r>
          </w:p>
        </w:tc>
      </w:tr>
      <w:tr>
        <w:trPr>
          <w:trHeight w:val="273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ElementMatrix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Upper</w:t>
            </w:r>
            <w:r>
              <w:rPr>
                <w:kern w:val="0"/>
                <w:sz w:val="24"/>
                <w:szCs w:val="22"/>
              </w:rPr>
              <w:t>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Элемент матрицы</w:t>
            </w:r>
          </w:p>
        </w:tc>
      </w:tr>
      <w:tr>
        <w:trPr>
          <w:trHeight w:val="273" w:hRule="atLeast"/>
        </w:trPr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matrix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9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М</w:t>
            </w:r>
            <w:r>
              <w:rPr>
                <w:kern w:val="0"/>
                <w:sz w:val="24"/>
                <w:lang w:val="en-US" w:eastAsia="en-US"/>
              </w:rPr>
              <w:t>атриц</w:t>
            </w:r>
            <w:r>
              <w:rPr>
                <w:kern w:val="0"/>
                <w:sz w:val="24"/>
                <w:lang w:val="ru-RU" w:eastAsia="en-US"/>
              </w:rPr>
              <w:t>а</w:t>
            </w:r>
          </w:p>
        </w:tc>
      </w:tr>
      <w:tr>
        <w:trPr>
          <w:trHeight w:val="273" w:hRule="atLeast"/>
        </w:trPr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numberOfRow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Lower</w:t>
            </w: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Номер строки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идентификаторах недопустимо: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1.использование сокращений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2.Использование символов подчеркивания, дефисов и других неалфавитно-цифровых символов.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3.</w:t>
            </w:r>
            <w:r>
              <w:rPr>
                <w:kern w:val="0"/>
                <w:sz w:val="24"/>
                <w:szCs w:val="22"/>
              </w:rPr>
              <w:t>Применение венгерской нотации.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Cs w:val="22"/>
              </w:rPr>
              <w:t>4.</w:t>
            </w:r>
            <w:r>
              <w:rPr>
                <w:kern w:val="0"/>
                <w:szCs w:val="22"/>
              </w:rPr>
              <w:t>Использование ключевых слов в качестве идентификаторов.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идентификаторах следует избегать: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1.Сленг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2.</w:t>
            </w:r>
            <w:r>
              <w:rPr>
                <w:kern w:val="0"/>
                <w:sz w:val="24"/>
                <w:lang w:val="en-US" w:eastAsia="en-US"/>
              </w:rPr>
              <w:t>А</w:t>
            </w:r>
            <w:r>
              <w:rPr>
                <w:kern w:val="0"/>
                <w:sz w:val="24"/>
                <w:lang w:val="ru-RU" w:eastAsia="en-US"/>
              </w:rPr>
              <w:t>кронимы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3.</w:t>
            </w:r>
            <w:r>
              <w:rPr>
                <w:kern w:val="0"/>
                <w:sz w:val="24"/>
                <w:lang w:val="ru-RU" w:eastAsia="en-US"/>
              </w:rPr>
              <w:t>П</w:t>
            </w:r>
            <w:r>
              <w:rPr>
                <w:kern w:val="0"/>
                <w:sz w:val="24"/>
                <w:lang w:val="ru-RU" w:eastAsia="en-US"/>
              </w:rPr>
              <w:t>росторечия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4.</w:t>
            </w:r>
            <w:r>
              <w:rPr>
                <w:kern w:val="0"/>
                <w:sz w:val="24"/>
                <w:lang w:val="ru-RU" w:eastAsia="en-US"/>
              </w:rPr>
              <w:t>Э</w:t>
            </w:r>
            <w:r>
              <w:rPr>
                <w:kern w:val="0"/>
                <w:sz w:val="24"/>
                <w:lang w:val="ru-RU" w:eastAsia="en-US"/>
              </w:rPr>
              <w:t>лементы конкретной культуры</w:t>
            </w:r>
          </w:p>
        </w:tc>
      </w:tr>
      <w:tr>
        <w:trPr>
          <w:trHeight w:val="552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Акронимы </w:t>
            </w:r>
            <w:r>
              <w:rPr>
                <w:kern w:val="0"/>
                <w:sz w:val="24"/>
                <w:szCs w:val="22"/>
              </w:rPr>
              <w:t xml:space="preserve">– </w:t>
            </w:r>
            <w:r>
              <w:rPr>
                <w:kern w:val="0"/>
                <w:sz w:val="24"/>
                <w:szCs w:val="22"/>
                <w:lang w:val="ru-RU" w:eastAsia="en-US"/>
              </w:rPr>
              <w:t>слова, образованные из начальных букв слов или словосочетаний</w:t>
            </w:r>
          </w:p>
          <w:p>
            <w:pPr>
              <w:pStyle w:val="TableParagraph"/>
              <w:spacing w:lineRule="exact" w:line="261" w:before="3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3"/>
              </w:numPr>
              <w:spacing w:lineRule="exact" w:line="261" w:before="3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Акронимы, состоящие из трех или больше символов подчиняются рекомендациям для обычных слов</w:t>
            </w:r>
          </w:p>
          <w:p>
            <w:pPr>
              <w:pStyle w:val="TableParagraph"/>
              <w:numPr>
                <w:ilvl w:val="0"/>
                <w:numId w:val="3"/>
              </w:numPr>
              <w:spacing w:lineRule="exact" w:line="261" w:before="3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Акроним, состоящий из двух символов, в Upper Camel Case набирается двумя прописными символами, а в Lower Camel Case — двумя строчными</w:t>
            </w:r>
          </w:p>
        </w:tc>
      </w:tr>
      <w:tr>
        <w:trPr>
          <w:trHeight w:val="278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Акронимы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3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Dry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Upper Camel 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Don’t Repeat Yourself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акронимах недопустимо: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 xml:space="preserve">1. </w:t>
            </w:r>
            <w:r>
              <w:rPr>
                <w:kern w:val="0"/>
                <w:sz w:val="24"/>
                <w:szCs w:val="22"/>
              </w:rPr>
              <w:t>Использование не общепринятых акронимов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2. Сокращения акронимов</w:t>
            </w:r>
          </w:p>
        </w:tc>
      </w:tr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0" w:after="0"/>
              <w:jc w:val="left"/>
              <w:rPr>
                <w:b/>
                <w:sz w:val="24"/>
                <w:lang w:eastAsia="en-US"/>
              </w:rPr>
            </w:pPr>
            <w:r>
              <w:rPr>
                <w:b/>
                <w:kern w:val="0"/>
                <w:sz w:val="24"/>
                <w:lang w:val="en-US" w:eastAsia="en-US"/>
              </w:rPr>
              <w:t>Именование типов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классов и структур должен использоваться стиль Upper Camel case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Название класса/структуры должно быть существительным или именной группой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интерфейсов должен использоваться стиль Upper Camel case, при этом имя должно снабжаться префиксом «I». В качестве имен интерфейсов следует выбирать существительные и именные группы, а, если интерфейс представляет возможность, — прилагательные и адъективные фразы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именах абстрактных базовых классов можно использовать слова «Abstract» (как префикс) и «Base» (чаще как суффикс)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Идентификатор производного класса должен указывать, на что класс похож и чем отличается. Рекомендуется имена производных классов оканчивать именами базовых классов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паре «интерфейс — класс», в которой класс является стандартной реализацией интерфейса, идентификаторы должны совпадать с точностью до префикса «I» у интерфейса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b w:val="false"/>
                <w:bCs w:val="false"/>
                <w:kern w:val="0"/>
                <w:lang w:val="en-US"/>
              </w:rPr>
            </w:pPr>
            <w:r>
              <w:rPr>
                <w:b w:val="false"/>
                <w:bCs w:val="false"/>
                <w:kern w:val="0"/>
                <w:sz w:val="24"/>
                <w:szCs w:val="22"/>
                <w:lang w:val="ru-RU" w:eastAsia="en-US"/>
              </w:rPr>
              <w:t>В именах перечислений должен использоваться Upper Camel case. Идентификатор должен быть существительным или именной группой. Если значениями перечисления являются битовые флаги, то идентификатор должен быть во множественном числе, в остальных случаях — в единственном числе</w:t>
            </w:r>
          </w:p>
        </w:tc>
      </w:tr>
      <w:tr>
        <w:trPr>
          <w:trHeight w:val="278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Типы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7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Containe</w:t>
            </w:r>
            <w:r>
              <w:rPr>
                <w:kern w:val="0"/>
                <w:sz w:val="24"/>
                <w:szCs w:val="22"/>
              </w:rPr>
              <w:t>r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Upper Camel 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Контейнер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При объявлении типов недопустимо: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1.Прибавление префиксов или суффиксов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/>
              <w:t>2.Использование общих слов</w:t>
            </w:r>
          </w:p>
        </w:tc>
      </w:tr>
      <w:tr>
        <w:trPr>
          <w:trHeight w:val="830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110" w:right="61"/>
              <w:jc w:val="left"/>
              <w:rPr>
                <w:sz w:val="24"/>
                <w:lang w:val="ru-RU" w:eastAsia="en-US"/>
              </w:rPr>
            </w:pPr>
            <w:r>
              <w:rPr>
                <w:b/>
                <w:kern w:val="0"/>
                <w:sz w:val="24"/>
                <w:lang w:val="ru-RU" w:eastAsia="en-US"/>
              </w:rPr>
              <w:t xml:space="preserve">Процедуры и функции </w:t>
            </w:r>
            <w:r>
              <w:rPr>
                <w:kern w:val="0"/>
                <w:sz w:val="24"/>
                <w:lang w:val="ru-RU" w:eastAsia="en-US"/>
              </w:rPr>
              <w:t>– фрагмент программного кода, к которому можно обратиться из другого места программы</w:t>
            </w:r>
          </w:p>
          <w:p>
            <w:pPr>
              <w:pStyle w:val="TableParagraph"/>
              <w:spacing w:lineRule="auto" w:line="240" w:before="0" w:after="0"/>
              <w:ind w:left="11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методов должен использоваться стиль Upper Camel case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Имена должны прояснять обязанности метода и при этом быть максимально короткими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При именовании методов следует выработать единый согласованный лексикон и следовать ему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Методы-обработчики событий следует именовать, используя префикс «On».</w:t>
            </w:r>
          </w:p>
          <w:p>
            <w:pPr>
              <w:pStyle w:val="TableParagraph"/>
              <w:spacing w:lineRule="exact" w:line="261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en-US" w:eastAsia="en-US"/>
              </w:rPr>
              <w:t>Правила создания</w:t>
            </w:r>
            <w:r>
              <w:rPr>
                <w:kern w:val="0"/>
                <w:sz w:val="24"/>
                <w:lang w:val="ru-RU" w:eastAsia="en-US"/>
              </w:rPr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spacing w:lineRule="exact" w:line="261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При именовании параметров методов должен использоваться стиль Lower Camel case</w:t>
            </w:r>
          </w:p>
          <w:p>
            <w:pPr>
              <w:pStyle w:val="TableParagraph"/>
              <w:numPr>
                <w:ilvl w:val="0"/>
                <w:numId w:val="4"/>
              </w:numPr>
              <w:spacing w:lineRule="exact" w:line="261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Идентификаторы параметров в большинстве случаев должны представлять собой существительные или именные группы. Параметром следует давать описательные имена.</w:t>
            </w:r>
          </w:p>
        </w:tc>
      </w:tr>
      <w:tr>
        <w:trPr>
          <w:trHeight w:val="273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Процедура или функция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7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generateRandomMatrix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Создать</w:t>
            </w:r>
            <w:r>
              <w:rPr>
                <w:kern w:val="0"/>
                <w:sz w:val="24"/>
                <w:lang w:val="ru-RU" w:eastAsia="en-US"/>
              </w:rPr>
              <w:t xml:space="preserve"> матрицу случайными числами</w:t>
            </w:r>
          </w:p>
        </w:tc>
      </w:tr>
      <w:tr>
        <w:trPr>
          <w:trHeight w:val="277" w:hRule="atLeast"/>
        </w:trPr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val="ru-RU" w:eastAsia="en-US"/>
              </w:rPr>
            </w:pPr>
            <w:r>
              <w:rPr>
                <w:kern w:val="0"/>
                <w:lang w:val="ru-RU" w:eastAsia="en-US"/>
              </w:rPr>
              <w:t>printMatrix()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Вывести матрицу</w:t>
            </w:r>
          </w:p>
        </w:tc>
      </w:tr>
      <w:tr>
        <w:trPr>
          <w:trHeight w:val="277" w:hRule="atLeast"/>
        </w:trPr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eastAsia="en-US"/>
              </w:rPr>
            </w:pPr>
            <w:r>
              <w:rPr>
                <w:kern w:val="0"/>
                <w:lang w:val="ru-RU" w:eastAsia="en-US"/>
              </w:rPr>
              <w:t>calculateDigitSum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Посчитать сумму цифр</w:t>
            </w:r>
          </w:p>
        </w:tc>
      </w:tr>
      <w:tr>
        <w:trPr>
          <w:trHeight w:val="277" w:hRule="atLeast"/>
        </w:trPr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eastAsia="en-US"/>
              </w:rPr>
            </w:pPr>
            <w:r>
              <w:rPr>
                <w:kern w:val="0"/>
                <w:lang w:val="ru-RU" w:eastAsia="en-US"/>
              </w:rPr>
              <w:t>modifyMatrix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Модифицировать матрицу</w:t>
            </w:r>
          </w:p>
        </w:tc>
      </w:tr>
      <w:tr>
        <w:trPr>
          <w:trHeight w:val="277" w:hRule="atLeast"/>
        </w:trPr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eastAsia="en-US"/>
              </w:rPr>
            </w:pPr>
            <w:r>
              <w:rPr>
                <w:kern w:val="0"/>
                <w:lang w:val="ru-RU" w:eastAsia="en-US"/>
              </w:rPr>
              <w:t>checkRowForAlternatingSign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 xml:space="preserve">Проверка </w:t>
            </w:r>
            <w:r>
              <w:rPr>
                <w:kern w:val="0"/>
                <w:sz w:val="24"/>
                <w:lang w:val="ru-RU" w:eastAsia="en-US"/>
              </w:rPr>
              <w:t>ряда</w:t>
            </w:r>
            <w:r>
              <w:rPr>
                <w:kern w:val="0"/>
                <w:sz w:val="24"/>
                <w:lang w:val="ru-RU" w:eastAsia="en-US"/>
              </w:rPr>
              <w:t xml:space="preserve"> на знакочере</w:t>
            </w:r>
            <w:r>
              <w:rPr>
                <w:kern w:val="0"/>
                <w:sz w:val="24"/>
                <w:lang w:val="ru-RU" w:eastAsia="en-US"/>
              </w:rPr>
              <w:t>дование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При именовании недопустимо: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1.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lang w:val="ru-RU" w:eastAsia="en-US"/>
              </w:rPr>
              <w:t>Если из контекста понятно, над каким объектом выполняется действие, то название объекта не следует включать в идентификатор метода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При именовании следует избегать: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1. Использования имена типов, а следует использовать слова, проясняющие семантику</w:t>
            </w:r>
          </w:p>
        </w:tc>
      </w:tr>
      <w:tr>
        <w:trPr>
          <w:trHeight w:val="830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b/>
                <w:kern w:val="0"/>
                <w:sz w:val="24"/>
                <w:lang w:val="ru-RU" w:eastAsia="en-US"/>
              </w:rPr>
              <w:t xml:space="preserve">Константы </w:t>
            </w:r>
            <w:r>
              <w:rPr>
                <w:kern w:val="0"/>
                <w:sz w:val="24"/>
                <w:lang w:val="ru-RU" w:eastAsia="en-US"/>
              </w:rPr>
              <w:t>– способ адресации данных, изменение которых рассматриваемой программой не предполагается или запрещается</w:t>
            </w:r>
          </w:p>
          <w:p>
            <w:pPr>
              <w:pStyle w:val="TableParagraph"/>
              <w:spacing w:lineRule="exact" w:line="274" w:before="7" w:after="0"/>
              <w:ind w:left="110" w:right="7276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 xml:space="preserve">Правила именования: </w:t>
            </w:r>
          </w:p>
          <w:p>
            <w:pPr>
              <w:pStyle w:val="TableParagraph"/>
              <w:numPr>
                <w:ilvl w:val="0"/>
                <w:numId w:val="7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констант должен использоваться стиль Upper Camel case. Константы должны иметь имена, являющиеся существительными, именными группами или прилагательными.</w:t>
            </w:r>
          </w:p>
          <w:p>
            <w:pPr>
              <w:pStyle w:val="TableParagraph"/>
              <w:numPr>
                <w:ilvl w:val="0"/>
                <w:numId w:val="7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Булевы свойства рекомендуется называть в утвердительно форме. При необходимости можно также добавлять и префиксы «Is», «Can» или «Has».</w:t>
            </w:r>
          </w:p>
          <w:p>
            <w:pPr>
              <w:pStyle w:val="TableParagraph"/>
              <w:spacing w:lineRule="exact" w:line="274" w:before="7" w:after="0"/>
              <w:ind w:left="110" w:right="7276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</w:t>
            </w:r>
            <w:r>
              <w:rPr>
                <w:kern w:val="0"/>
                <w:sz w:val="24"/>
                <w:lang w:val="ru-RU" w:eastAsia="en-US"/>
              </w:rPr>
              <w:t xml:space="preserve">а </w:t>
            </w:r>
            <w:r>
              <w:rPr>
                <w:kern w:val="0"/>
                <w:sz w:val="24"/>
                <w:lang w:val="ru-RU" w:eastAsia="en-US"/>
              </w:rPr>
              <w:t>использования:</w:t>
            </w:r>
          </w:p>
          <w:p>
            <w:pPr>
              <w:pStyle w:val="TableParagraph"/>
              <w:numPr>
                <w:ilvl w:val="0"/>
                <w:numId w:val="6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Именованные константы (включая значения перечислений) должны быть записаны в верхнем регистре с нижним подчёркиванием в качестве разделителя.</w:t>
            </w:r>
          </w:p>
          <w:p>
            <w:pPr>
              <w:pStyle w:val="TableParagraph"/>
              <w:numPr>
                <w:ilvl w:val="0"/>
                <w:numId w:val="6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Общая практика в сообществе разработчиков C++. Использование таких констант должно быть сведено к минимуму.</w:t>
            </w:r>
          </w:p>
        </w:tc>
      </w:tr>
      <w:tr>
        <w:trPr>
          <w:trHeight w:val="273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Константы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9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Дешифровка</w:t>
            </w:r>
          </w:p>
        </w:tc>
      </w:tr>
      <w:tr>
        <w:trPr>
          <w:trHeight w:val="278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MATRIX_SIZE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Р</w:t>
            </w:r>
            <w:r>
              <w:rPr>
                <w:kern w:val="0"/>
                <w:sz w:val="24"/>
                <w:lang w:val="ru-RU" w:eastAsia="en-US"/>
              </w:rPr>
              <w:t>азмер матрицы</w:t>
            </w:r>
          </w:p>
        </w:tc>
      </w:tr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b/>
                <w:kern w:val="0"/>
                <w:sz w:val="24"/>
                <w:lang w:val="ru-RU" w:eastAsia="en-US"/>
              </w:rPr>
              <w:t xml:space="preserve">Локальные переменные </w:t>
            </w:r>
            <w:r>
              <w:rPr>
                <w:kern w:val="0"/>
                <w:sz w:val="24"/>
                <w:lang w:val="ru-RU" w:eastAsia="en-US"/>
              </w:rPr>
              <w:t>– переменные, объявленные внутри блока кода</w:t>
            </w:r>
          </w:p>
          <w:p>
            <w:pPr>
              <w:pStyle w:val="TableParagraph"/>
              <w:spacing w:lineRule="exact" w:line="27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8"/>
              </w:numPr>
              <w:spacing w:lineRule="exact" w:line="27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При именовании переменных должен использоваться стиль Lower Camel case</w:t>
            </w:r>
          </w:p>
          <w:p>
            <w:pPr>
              <w:pStyle w:val="TableParagraph"/>
              <w:numPr>
                <w:ilvl w:val="0"/>
                <w:numId w:val="8"/>
              </w:numPr>
              <w:spacing w:lineRule="exact" w:line="27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Идентификаторы переменных в большинстве случаев должны представлять собой существительные или именные группы. Переменным следует давать описательные имена.</w:t>
            </w:r>
          </w:p>
        </w:tc>
      </w:tr>
      <w:tr>
        <w:trPr>
          <w:trHeight w:val="278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Локальные переменные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3" w:hRule="atLeast"/>
        </w:trPr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/>
              <w:t>numberOfRow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LowerCamelCase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Номер строки</w:t>
            </w:r>
          </w:p>
        </w:tc>
      </w:tr>
    </w:tbl>
    <w:p>
      <w:pPr>
        <w:pStyle w:val="BodyText"/>
        <w:ind w:left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в ходе данной лабораторной работы были сформированы практические навыки следования стандарту кодирования при разработке программного обеспечения.</w:t>
      </w:r>
    </w:p>
    <w:sectPr>
      <w:footerReference w:type="default" r:id="rId6"/>
      <w:footerReference w:type="first" r:id="rId7"/>
      <w:type w:val="nextPage"/>
      <w:pgSz w:w="11906" w:h="16838"/>
      <w:pgMar w:left="1136" w:right="1136" w:gutter="0" w:header="0" w:top="1136" w:footer="1136" w:bottom="15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6792</TotalTime>
  <Application>LibreOffice/7.6.5.2$Linux_X86_64 LibreOffice_project/60$Build-2</Application>
  <AppVersion>15.0000</AppVersion>
  <Pages>7</Pages>
  <Words>1181</Words>
  <Characters>7461</Characters>
  <CharactersWithSpaces>8905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2024-03-23T20:17:34Z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