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8"/>
              </w:rPr>
              <w:t>4</w:t>
            </w:r>
            <w:r>
              <w:rPr>
                <w:b/>
                <w:i w:val="false"/>
                <w:iCs w:val="false"/>
                <w:sz w:val="28"/>
                <w:szCs w:val="28"/>
              </w:rPr>
              <w:t xml:space="preserve">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 xml:space="preserve">Программное обеспечение ЭВМ, 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«Разработка программного кода. Стандарт кодирования»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формирование практических навыков следования стандарту кодирования при разработке программного обеспечения.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стандарты кодирования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рефакторинг кода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таблицу идентефикаторов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3"/>
        <w:keepNext w:val="true"/>
        <w:keepLines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  <w:t>Вариант 4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>Квадратную матрицу 17</w:t>
      </w:r>
      <w:r>
        <w:rPr/>
        <w:t>x</w:t>
      </w:r>
      <w:r>
        <w:rPr>
          <w:lang w:val="ru-RU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4771390</wp:posOffset>
            </wp:positionH>
            <wp:positionV relativeFrom="paragraph">
              <wp:posOffset>468630</wp:posOffset>
            </wp:positionV>
            <wp:extent cx="1212850" cy="1151890"/>
            <wp:effectExtent l="0" t="0" r="0" b="0"/>
            <wp:wrapSquare wrapText="bothSides"/>
            <wp:docPr id="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17 заполнить случайными числами из диапазона [-12.. 12], вывести ее на экран.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а) К каждому элементу  целочисленной матрицы прибавить сумму  цифр элемента, стоящего в этой же строке на побочной диагонали.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lang w:val="ru-RU"/>
        </w:rPr>
        <w:t xml:space="preserve">б) Проверить, содержит строка, номер которой введен с клавиатуры, знакочередующиеся элементы.   </w:t>
      </w:r>
    </w:p>
    <w:p>
      <w:pPr>
        <w:pStyle w:val="11"/>
        <w:shd w:val="clear" w:color="auto" w:fill="auto"/>
        <w:spacing w:lineRule="exact" w:line="485" w:before="0" w:after="0"/>
        <w:ind w:hanging="0" w:left="20" w:right="20"/>
        <w:rPr>
          <w:lang w:val="ru-RU"/>
        </w:rPr>
      </w:pPr>
      <w:r>
        <w:rPr>
          <w:sz w:val="28"/>
          <w:szCs w:val="28"/>
          <w:lang w:val="ru-RU"/>
        </w:rPr>
        <w:t>в) Указать номер строки и столбца  первого нулевого элемента среди элементов матрицы, выделенных чёрным цветом (матрица квадратная).</w:t>
        <w:tab/>
        <w:tab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идентефикаторов: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BodyText"/>
        <w:ind w:left="0"/>
        <w:rPr>
          <w:b/>
          <w:sz w:val="11"/>
        </w:rPr>
      </w:pPr>
      <w:r>
        <w:rPr>
          <w:b/>
          <w:sz w:val="11"/>
        </w:rPr>
      </w:r>
    </w:p>
    <w:tbl>
      <w:tblPr>
        <w:tblStyle w:val="TableNormal"/>
        <w:tblW w:w="9859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88"/>
        <w:gridCol w:w="3285"/>
        <w:gridCol w:w="3286"/>
      </w:tblGrid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Идентификаторы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это последовательность символов, используемая для обозначения имени объекта или переменной, имени класса, структуры или объединения</w:t>
            </w:r>
          </w:p>
          <w:p>
            <w:pPr>
              <w:pStyle w:val="TableParagraph"/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Американский английский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Upper/Lower Camel casing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Важно, чтобы все идентификаторы были легко читаемыми (и произносимыми вслух) и понятными, а не максимально короткими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</w:t>
            </w:r>
          </w:p>
        </w:tc>
      </w:tr>
      <w:tr>
        <w:trPr>
          <w:trHeight w:val="277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Имя идентификатора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Условный перевод</w:t>
            </w:r>
          </w:p>
        </w:tc>
      </w:tr>
      <w:tr>
        <w:trPr>
          <w:trHeight w:val="273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ElementMatrix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CamelCase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Элемент матрицы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1.использование сокращений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следует избегать: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1.Сленг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552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Акронимы </w:t>
            </w:r>
            <w:r>
              <w:rPr>
                <w:kern w:val="0"/>
                <w:sz w:val="24"/>
                <w:szCs w:val="22"/>
              </w:rPr>
              <w:t>– определение</w:t>
            </w:r>
          </w:p>
          <w:p>
            <w:pPr>
              <w:pStyle w:val="TableParagraph"/>
              <w:widowControl w:val="false"/>
              <w:spacing w:lineRule="exact" w:line="261" w:before="3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Правила именования</w:t>
            </w:r>
          </w:p>
        </w:tc>
      </w:tr>
      <w:tr>
        <w:trPr>
          <w:trHeight w:val="278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Акронимы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акронимах недопустимо: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акронимах следует избегать: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1"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Именование типов</w:t>
            </w:r>
          </w:p>
          <w:p>
            <w:pPr>
              <w:pStyle w:val="TableParagraph"/>
              <w:widowControl w:val="false"/>
              <w:spacing w:lineRule="exact" w:line="260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Правила именования</w:t>
            </w:r>
          </w:p>
        </w:tc>
      </w:tr>
      <w:tr>
        <w:trPr>
          <w:trHeight w:val="278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Типы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объявлении типов недопустимо: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110" w:right="5702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Процедуры и функции </w:t>
            </w:r>
            <w:r>
              <w:rPr>
                <w:kern w:val="0"/>
                <w:sz w:val="24"/>
                <w:szCs w:val="22"/>
              </w:rPr>
              <w:t>– определение Правила именования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Правила создания</w:t>
            </w:r>
          </w:p>
        </w:tc>
      </w:tr>
      <w:tr>
        <w:trPr>
          <w:trHeight w:val="273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Процедура или функция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именовании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именовании следует избегать: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Константы </w:t>
            </w:r>
            <w:r>
              <w:rPr>
                <w:kern w:val="0"/>
                <w:sz w:val="24"/>
                <w:szCs w:val="22"/>
              </w:rPr>
              <w:t>– определение</w:t>
            </w:r>
          </w:p>
          <w:p>
            <w:pPr>
              <w:pStyle w:val="TableParagraph"/>
              <w:widowControl w:val="false"/>
              <w:spacing w:lineRule="exact" w:line="274" w:before="7" w:after="0"/>
              <w:ind w:left="110" w:right="7276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Правила именования Правила использования</w:t>
            </w:r>
          </w:p>
        </w:tc>
      </w:tr>
      <w:tr>
        <w:trPr>
          <w:trHeight w:val="273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Константы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8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2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Локальные переменные </w:t>
            </w:r>
            <w:r>
              <w:rPr>
                <w:kern w:val="0"/>
                <w:sz w:val="24"/>
                <w:szCs w:val="22"/>
              </w:rPr>
              <w:t>– определение</w:t>
            </w:r>
          </w:p>
          <w:p>
            <w:pPr>
              <w:pStyle w:val="TableParagraph"/>
              <w:widowControl w:val="false"/>
              <w:spacing w:lineRule="exact" w:line="270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Правила именования</w:t>
            </w:r>
          </w:p>
        </w:tc>
      </w:tr>
      <w:tr>
        <w:trPr>
          <w:trHeight w:val="278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Локальные переменные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…</w:t>
            </w:r>
          </w:p>
        </w:tc>
      </w:tr>
    </w:tbl>
    <w:p>
      <w:pPr>
        <w:pStyle w:val="BodyText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работы мы познакомились с односвязными списками, стеками и очередями, реализовали их используя ЯП C++.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/>
        <w:t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http://www.iprbookshop.ru/94532.html.</w:t>
      </w:r>
    </w:p>
    <w:p>
      <w:pPr>
        <w:pStyle w:val="Normal"/>
        <w:tabs>
          <w:tab w:val="clear" w:pos="708"/>
          <w:tab w:val="left" w:pos="360" w:leader="none"/>
        </w:tabs>
        <w:jc w:val="both"/>
        <w:rPr/>
      </w:pPr>
      <w:r>
        <w:rPr>
          <w:rStyle w:val="Hyperlink"/>
          <w:color w:val="auto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bidi="ar-SA" w:val="ru-RU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ru-RU" w:bidi="ar-SA" w:val="ru-RU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Application>LibreOffice/7.6.5.2$Linux_X86_64 LibreOffice_project/60$Build-2</Application>
  <AppVersion>15.0000</AppVersion>
  <Pages>4</Pages>
  <Words>570</Words>
  <Characters>3881</Characters>
  <CharactersWithSpaces>4364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2024-03-03T22:33:04Z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