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singl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singl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2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«Оценка качества программного продукта»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«Основы программной инженерии»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Амеличев Г. Э.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136" w:right="1136" w:gutter="0" w:header="0" w:top="1136" w:footer="1136" w:bottom="1562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/>
      </w:pPr>
      <w:r>
        <w:rPr>
          <w:b/>
          <w:bCs/>
          <w:sz w:val="28"/>
          <w:szCs w:val="28"/>
        </w:rPr>
        <w:t xml:space="preserve">Цель: </w:t>
      </w:r>
      <w:r>
        <w:rPr>
          <w:b w:val="false"/>
          <w:bCs w:val="false"/>
          <w:sz w:val="28"/>
          <w:szCs w:val="28"/>
        </w:rPr>
        <w:t>изучение основных методов и подходов оценки качества программного</w:t>
      </w:r>
    </w:p>
    <w:p>
      <w:pPr>
        <w:pStyle w:val="Normal"/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продукта.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/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изучить основы метрической теории Холстеда;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для написанных ранее программ произвести расчет количественных характеристик программ;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сравнить полученные результаты.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left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&lt;cstdlib&gt;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MATRIX_SIZE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17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matrix[MATRIX_SIZE][MATRIX_SIZE];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generateRandomMatrix()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auto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&amp;i : matrix)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&amp;j : i)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j = std::rand() %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25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-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12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printMatrix()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auto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&amp;i : matrix)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j : i)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std::cout &lt;&lt; j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8"/>
          <w:u w:val="none"/>
          <w:shd w:fill="auto" w:val="clear"/>
          <w:lang w:val="zxx"/>
        </w:rPr>
        <w:t>" 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std::cout &lt;&lt; std::endl;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calculateDigitSum(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number)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number = abs(number);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number /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+ number %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modifyMatrix()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i &lt; MATRIX_SIZE; i++)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j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j &lt; MATRIX_SIZE; j++)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matrix[i][j] += calculateDigitSum(matrix[i][MATRIX_SIZE -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- i]);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isNegative(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number)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number &lt;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52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checkRowForAlternatingSigns()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numberOfRow{};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std::cin &gt;&gt; numberOfRow;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j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j &lt; MATRIX_SIZE; j++)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i w:val="false"/>
          <w:color w:val="auto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(isNegative(matrix[numberOfRow][j]) == isNegative(matrix[numberOfRow][j -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]))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8"/>
          <w:u w:val="none"/>
          <w:shd w:fill="auto" w:val="clear"/>
          <w:lang w:val="zxx"/>
        </w:rPr>
        <w:t>"Строка содержит знакочередующиеся элементы"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findFirstZeroElement()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i = MATRIX_SIZE /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i &lt; MATRIX_SIZE; i++)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j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j &lt; MATRIX_SIZE; j++)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(matrix[i][j] ==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    std::cout &lt;&lt; i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8"/>
          <w:u w:val="none"/>
          <w:shd w:fill="auto" w:val="clear"/>
          <w:lang w:val="zxx"/>
        </w:rPr>
        <w:t>" 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&lt;&lt; j &lt;&lt; std::endl;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main()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generateRandomMatrix();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printMatrix();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modifyMatrix();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checkRowForAlternatingSigns();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findFirstZeroElement();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printMatrix();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/>
          <w:i w:val="false"/>
          <w:i w:val="false"/>
          <w:color w:val="000000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Таблица идентефикаторов: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TableNormal"/>
        <w:tblW w:w="9859" w:type="dxa"/>
        <w:jc w:val="left"/>
        <w:tblInd w:w="123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3286"/>
        <w:gridCol w:w="2504"/>
        <w:gridCol w:w="4069"/>
      </w:tblGrid>
      <w:tr>
        <w:trPr>
          <w:trHeight w:val="551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7" w:before="0" w:after="0"/>
              <w:jc w:val="left"/>
              <w:rPr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 xml:space="preserve">Идентификаторы </w:t>
            </w:r>
            <w:r>
              <w:rPr>
                <w:kern w:val="0"/>
                <w:sz w:val="24"/>
                <w:szCs w:val="22"/>
              </w:rPr>
              <w:t xml:space="preserve">– </w:t>
            </w:r>
            <w:r>
              <w:rPr>
                <w:kern w:val="0"/>
                <w:sz w:val="24"/>
                <w:szCs w:val="22"/>
                <w:lang w:val="ru-RU" w:eastAsia="en-US"/>
              </w:rPr>
              <w:t>это последовательность символов, используемая для обозначения имени объекта или переменной, имени класса, структуры или объединения</w:t>
            </w:r>
          </w:p>
          <w:p>
            <w:pPr>
              <w:pStyle w:val="TableParagraph"/>
              <w:spacing w:lineRule="exact" w:line="265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Правила именования:</w:t>
            </w:r>
          </w:p>
          <w:p>
            <w:pPr>
              <w:pStyle w:val="TableParagraph"/>
              <w:numPr>
                <w:ilvl w:val="0"/>
                <w:numId w:val="11"/>
              </w:numPr>
              <w:spacing w:lineRule="exact" w:line="265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Американский английский</w:t>
            </w:r>
          </w:p>
          <w:p>
            <w:pPr>
              <w:pStyle w:val="TableParagraph"/>
              <w:numPr>
                <w:ilvl w:val="0"/>
                <w:numId w:val="1"/>
              </w:numPr>
              <w:spacing w:lineRule="exact" w:line="265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en-US" w:eastAsia="en-US"/>
              </w:rPr>
              <w:t>Upper/Lower Camel casing</w:t>
            </w:r>
          </w:p>
          <w:p>
            <w:pPr>
              <w:pStyle w:val="TableParagraph"/>
              <w:numPr>
                <w:ilvl w:val="0"/>
                <w:numId w:val="1"/>
              </w:numPr>
              <w:spacing w:lineRule="exact" w:line="265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Важно, чтобы все идентификаторы были легко читаемыми (и произносимыми вслух) и понятными, а не максимально короткими</w:t>
            </w:r>
          </w:p>
          <w:p>
            <w:pPr>
              <w:pStyle w:val="TableParagraph"/>
              <w:numPr>
                <w:ilvl w:val="0"/>
                <w:numId w:val="1"/>
              </w:numPr>
              <w:spacing w:lineRule="exact" w:line="265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Именованные константы (включая значения перечислений) должны быть записаны в верхнем регистре с нижним подчёркиванием в качестве разделителя</w:t>
            </w:r>
          </w:p>
        </w:tc>
      </w:tr>
      <w:tr>
        <w:trPr>
          <w:trHeight w:val="277" w:hRule="atLeast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Имя идентификатора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Нотация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Условный перевод</w:t>
            </w:r>
          </w:p>
        </w:tc>
      </w:tr>
      <w:tr>
        <w:trPr>
          <w:trHeight w:val="273" w:hRule="atLeast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ElementMatrix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UpperCamelCase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Элемент матрицы</w:t>
            </w:r>
          </w:p>
        </w:tc>
      </w:tr>
      <w:tr>
        <w:trPr>
          <w:trHeight w:val="273" w:hRule="atLeast"/>
        </w:trPr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matrix</w:t>
            </w:r>
          </w:p>
        </w:tc>
        <w:tc>
          <w:tcPr>
            <w:tcW w:w="2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CamelCase</w:t>
            </w:r>
          </w:p>
        </w:tc>
        <w:tc>
          <w:tcPr>
            <w:tcW w:w="4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9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Матриц</w:t>
            </w:r>
            <w:r>
              <w:rPr>
                <w:kern w:val="0"/>
                <w:sz w:val="24"/>
                <w:lang w:val="ru-RU" w:eastAsia="en-US"/>
              </w:rPr>
              <w:t>а</w:t>
            </w:r>
          </w:p>
        </w:tc>
      </w:tr>
      <w:tr>
        <w:trPr>
          <w:trHeight w:val="273" w:hRule="atLeast"/>
        </w:trPr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ru-RU" w:eastAsia="en-US"/>
              </w:rPr>
              <w:t>numberOfRow</w:t>
            </w:r>
          </w:p>
        </w:tc>
        <w:tc>
          <w:tcPr>
            <w:tcW w:w="2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LowerCamelCase</w:t>
            </w:r>
          </w:p>
        </w:tc>
        <w:tc>
          <w:tcPr>
            <w:tcW w:w="4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9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Номер строки</w:t>
            </w:r>
          </w:p>
        </w:tc>
      </w:tr>
      <w:tr>
        <w:trPr>
          <w:trHeight w:val="277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В идентификаторах недопустимо: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1.использование сокращений</w:t>
            </w:r>
          </w:p>
        </w:tc>
      </w:tr>
      <w:tr>
        <w:trPr>
          <w:trHeight w:val="278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2.Использование символов подчеркивания, дефисов и других неалфавитно-цифровых символов.</w:t>
            </w:r>
          </w:p>
        </w:tc>
      </w:tr>
      <w:tr>
        <w:trPr>
          <w:trHeight w:val="278" w:hRule="atLeast"/>
        </w:trPr>
        <w:tc>
          <w:tcPr>
            <w:tcW w:w="985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3.Применение венгерской нотации.</w:t>
            </w:r>
          </w:p>
        </w:tc>
      </w:tr>
      <w:tr>
        <w:trPr>
          <w:trHeight w:val="278" w:hRule="atLeast"/>
        </w:trPr>
        <w:tc>
          <w:tcPr>
            <w:tcW w:w="985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Cs w:val="22"/>
              </w:rPr>
              <w:t>4.Использование ключевых слов в качестве идентификаторов.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В идентификаторах следует избегать:</w:t>
            </w:r>
          </w:p>
        </w:tc>
      </w:tr>
      <w:tr>
        <w:trPr>
          <w:trHeight w:val="277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1.Сленг</w:t>
            </w:r>
          </w:p>
        </w:tc>
      </w:tr>
      <w:tr>
        <w:trPr>
          <w:trHeight w:val="277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2.А</w:t>
            </w:r>
            <w:r>
              <w:rPr>
                <w:kern w:val="0"/>
                <w:sz w:val="24"/>
                <w:lang w:val="ru-RU" w:eastAsia="en-US"/>
              </w:rPr>
              <w:t>кронимы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ru-RU" w:eastAsia="en-US"/>
              </w:rPr>
              <w:t>3.Просторечия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ru-RU" w:eastAsia="en-US"/>
              </w:rPr>
              <w:t>4.Элементы конкретной культуры</w:t>
            </w:r>
          </w:p>
        </w:tc>
      </w:tr>
      <w:tr>
        <w:trPr>
          <w:trHeight w:val="552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jc w:val="left"/>
              <w:rPr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 xml:space="preserve">Акронимы </w:t>
            </w:r>
            <w:r>
              <w:rPr>
                <w:kern w:val="0"/>
                <w:sz w:val="24"/>
                <w:szCs w:val="22"/>
              </w:rPr>
              <w:t xml:space="preserve">– </w:t>
            </w:r>
            <w:r>
              <w:rPr>
                <w:kern w:val="0"/>
                <w:sz w:val="24"/>
                <w:szCs w:val="22"/>
                <w:lang w:val="ru-RU" w:eastAsia="en-US"/>
              </w:rPr>
              <w:t>слова, образованные из начальных букв слов или словосочетаний</w:t>
            </w:r>
          </w:p>
          <w:p>
            <w:pPr>
              <w:pStyle w:val="TableParagraph"/>
              <w:spacing w:lineRule="exact" w:line="261" w:before="3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Правила именования:</w:t>
            </w:r>
          </w:p>
          <w:p>
            <w:pPr>
              <w:pStyle w:val="TableParagraph"/>
              <w:numPr>
                <w:ilvl w:val="0"/>
                <w:numId w:val="3"/>
              </w:numPr>
              <w:spacing w:lineRule="exact" w:line="261" w:before="3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Акронимы, состоящие из трех или больше символов подчиняются рекомендациям для обычных слов</w:t>
            </w:r>
          </w:p>
          <w:p>
            <w:pPr>
              <w:pStyle w:val="TableParagraph"/>
              <w:numPr>
                <w:ilvl w:val="0"/>
                <w:numId w:val="3"/>
              </w:numPr>
              <w:spacing w:lineRule="exact" w:line="261" w:before="3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szCs w:val="22"/>
                <w:lang w:val="ru-RU" w:eastAsia="en-US"/>
              </w:rPr>
              <w:t>Акроним, состоящий из двух символов, в Upper Camel Case набирается двумя прописными символами, а в Lower Camel Case — двумя строчными</w:t>
            </w:r>
          </w:p>
        </w:tc>
      </w:tr>
      <w:tr>
        <w:trPr>
          <w:trHeight w:val="278" w:hRule="atLeast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Акронимы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Нотация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Дешифровка</w:t>
            </w:r>
          </w:p>
        </w:tc>
      </w:tr>
      <w:tr>
        <w:trPr>
          <w:trHeight w:val="273" w:hRule="atLeast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Dry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Upper Camel Case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Don’t Repeat Yourself</w:t>
            </w:r>
          </w:p>
        </w:tc>
      </w:tr>
      <w:tr>
        <w:trPr>
          <w:trHeight w:val="278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В акронимах недопустимо:</w:t>
            </w:r>
          </w:p>
        </w:tc>
      </w:tr>
      <w:tr>
        <w:trPr>
          <w:trHeight w:val="277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1. Использование не общепринятых акронимов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2. Сокращения акронимов</w:t>
            </w:r>
          </w:p>
        </w:tc>
      </w:tr>
      <w:tr>
        <w:trPr>
          <w:trHeight w:val="551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 w:before="0" w:after="0"/>
              <w:jc w:val="left"/>
              <w:rPr>
                <w:b/>
                <w:sz w:val="24"/>
                <w:lang w:eastAsia="en-US"/>
              </w:rPr>
            </w:pPr>
            <w:r>
              <w:rPr>
                <w:b/>
                <w:kern w:val="0"/>
                <w:sz w:val="24"/>
                <w:lang w:val="en-US" w:eastAsia="en-US"/>
              </w:rPr>
              <w:t>Именование типов</w:t>
            </w:r>
          </w:p>
          <w:p>
            <w:pPr>
              <w:pStyle w:val="TableParagraph"/>
              <w:numPr>
                <w:ilvl w:val="0"/>
                <w:numId w:val="2"/>
              </w:numPr>
              <w:spacing w:lineRule="exact" w:line="26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В идентификаторах классов и структур должен использоваться стиль Upper Camel case</w:t>
            </w:r>
          </w:p>
          <w:p>
            <w:pPr>
              <w:pStyle w:val="TableParagraph"/>
              <w:numPr>
                <w:ilvl w:val="0"/>
                <w:numId w:val="2"/>
              </w:numPr>
              <w:spacing w:lineRule="exact" w:line="26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Название класса/структуры должно быть существительным или именной группой</w:t>
            </w:r>
          </w:p>
          <w:p>
            <w:pPr>
              <w:pStyle w:val="TableParagraph"/>
              <w:numPr>
                <w:ilvl w:val="0"/>
                <w:numId w:val="2"/>
              </w:numPr>
              <w:spacing w:lineRule="exact" w:line="26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В идентификаторах интерфейсов должен использоваться стиль Upper Camel case, при этом имя должно снабжаться префиксом «I». В качестве имен интерфейсов следует выбирать существительные и именные группы, а, если интерфейс представляет возможность, — прилагательные и адъективные фразы</w:t>
            </w:r>
          </w:p>
          <w:p>
            <w:pPr>
              <w:pStyle w:val="TableParagraph"/>
              <w:numPr>
                <w:ilvl w:val="0"/>
                <w:numId w:val="2"/>
              </w:numPr>
              <w:spacing w:lineRule="exact" w:line="26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В именах абстрактных базовых классов можно использовать слова «Abstract» (как префикс) и «Base» (чаще как суффикс)</w:t>
            </w:r>
          </w:p>
          <w:p>
            <w:pPr>
              <w:pStyle w:val="TableParagraph"/>
              <w:numPr>
                <w:ilvl w:val="0"/>
                <w:numId w:val="2"/>
              </w:numPr>
              <w:spacing w:lineRule="exact" w:line="26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Идентификатор производного класса должен указывать, на что класс похож и чем отличается. Рекомендуется имена производных классов оканчивать именами базовых классов</w:t>
            </w:r>
          </w:p>
          <w:p>
            <w:pPr>
              <w:pStyle w:val="TableParagraph"/>
              <w:numPr>
                <w:ilvl w:val="0"/>
                <w:numId w:val="2"/>
              </w:numPr>
              <w:spacing w:lineRule="exact" w:line="26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В паре «интерфейс — класс», в которой класс является стандартной реализацией интерфейса, идентификаторы должны совпадать с точностью до префикса «I» у интерфейса</w:t>
            </w:r>
          </w:p>
          <w:p>
            <w:pPr>
              <w:pStyle w:val="TableParagraph"/>
              <w:numPr>
                <w:ilvl w:val="0"/>
                <w:numId w:val="2"/>
              </w:numPr>
              <w:spacing w:lineRule="exact" w:line="260" w:before="0" w:after="0"/>
              <w:jc w:val="left"/>
              <w:rPr>
                <w:b w:val="false"/>
                <w:bCs w:val="false"/>
                <w:kern w:val="0"/>
                <w:lang w:val="en-US"/>
              </w:rPr>
            </w:pPr>
            <w:r>
              <w:rPr>
                <w:b w:val="false"/>
                <w:bCs w:val="false"/>
                <w:kern w:val="0"/>
                <w:sz w:val="24"/>
                <w:szCs w:val="22"/>
                <w:lang w:val="ru-RU" w:eastAsia="en-US"/>
              </w:rPr>
              <w:t>В именах перечислений должен использоваться Upper Camel case. Идентификатор должен быть существительным или именной группой. Если значениями перечисления являются битовые флаги, то идентификатор должен быть во множественном числе, в остальных случаях — в единственном числе</w:t>
            </w:r>
          </w:p>
        </w:tc>
      </w:tr>
      <w:tr>
        <w:trPr>
          <w:trHeight w:val="278" w:hRule="atLeast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Типы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Нотация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Дешифровка</w:t>
            </w:r>
          </w:p>
        </w:tc>
      </w:tr>
      <w:tr>
        <w:trPr>
          <w:trHeight w:val="277" w:hRule="atLeast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Container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Upper Camel Case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Контейнер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При объявлении типов недопустимо:</w:t>
            </w:r>
          </w:p>
        </w:tc>
      </w:tr>
      <w:tr>
        <w:trPr>
          <w:trHeight w:val="278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1.Прибавление префиксов или суффиксов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/>
              <w:t>2.Использование общих слов</w:t>
            </w:r>
          </w:p>
        </w:tc>
      </w:tr>
      <w:tr>
        <w:trPr>
          <w:trHeight w:val="830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110" w:right="61"/>
              <w:jc w:val="left"/>
              <w:rPr>
                <w:sz w:val="24"/>
                <w:lang w:val="ru-RU" w:eastAsia="en-US"/>
              </w:rPr>
            </w:pPr>
            <w:r>
              <w:rPr>
                <w:b/>
                <w:kern w:val="0"/>
                <w:sz w:val="24"/>
                <w:lang w:val="ru-RU" w:eastAsia="en-US"/>
              </w:rPr>
              <w:t xml:space="preserve">Процедуры и функции </w:t>
            </w:r>
            <w:r>
              <w:rPr>
                <w:kern w:val="0"/>
                <w:sz w:val="24"/>
                <w:lang w:val="ru-RU" w:eastAsia="en-US"/>
              </w:rPr>
              <w:t>– фрагмент программного кода, к которому можно обратиться из другого места программы</w:t>
            </w:r>
          </w:p>
          <w:p>
            <w:pPr>
              <w:pStyle w:val="TableParagraph"/>
              <w:spacing w:lineRule="auto" w:line="240" w:before="0" w:after="0"/>
              <w:ind w:left="110" w:right="61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Правила именования:</w:t>
            </w:r>
          </w:p>
          <w:p>
            <w:pPr>
              <w:pStyle w:val="TableParagraph"/>
              <w:numPr>
                <w:ilvl w:val="0"/>
                <w:numId w:val="5"/>
              </w:numPr>
              <w:spacing w:lineRule="auto" w:line="240" w:before="0" w:after="0"/>
              <w:ind w:hanging="360" w:left="830" w:right="61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В идентификаторах методов должен использоваться стиль Upper Camel case</w:t>
            </w:r>
          </w:p>
          <w:p>
            <w:pPr>
              <w:pStyle w:val="TableParagraph"/>
              <w:numPr>
                <w:ilvl w:val="0"/>
                <w:numId w:val="5"/>
              </w:numPr>
              <w:spacing w:lineRule="auto" w:line="240" w:before="0" w:after="0"/>
              <w:ind w:hanging="360" w:left="830" w:right="61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Имена должны прояснять обязанности метода и при этом быть максимально короткими</w:t>
            </w:r>
          </w:p>
          <w:p>
            <w:pPr>
              <w:pStyle w:val="TableParagraph"/>
              <w:numPr>
                <w:ilvl w:val="0"/>
                <w:numId w:val="5"/>
              </w:numPr>
              <w:spacing w:lineRule="auto" w:line="240" w:before="0" w:after="0"/>
              <w:ind w:hanging="360" w:left="830" w:right="61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При именовании методов следует выработать единый согласованный лексикон и следовать ему</w:t>
            </w:r>
          </w:p>
          <w:p>
            <w:pPr>
              <w:pStyle w:val="TableParagraph"/>
              <w:numPr>
                <w:ilvl w:val="0"/>
                <w:numId w:val="5"/>
              </w:numPr>
              <w:spacing w:lineRule="auto" w:line="240" w:before="0" w:after="0"/>
              <w:ind w:hanging="360" w:left="830" w:right="61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Методы-обработчики событий следует именовать, используя префикс «On».</w:t>
            </w:r>
          </w:p>
          <w:p>
            <w:pPr>
              <w:pStyle w:val="TableParagraph"/>
              <w:spacing w:lineRule="exact" w:line="261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en-US" w:eastAsia="en-US"/>
              </w:rPr>
              <w:t>Правила создания</w:t>
            </w:r>
            <w:r>
              <w:rPr>
                <w:kern w:val="0"/>
                <w:sz w:val="24"/>
                <w:lang w:val="ru-RU" w:eastAsia="en-US"/>
              </w:rPr>
              <w:t>:</w:t>
            </w:r>
          </w:p>
          <w:p>
            <w:pPr>
              <w:pStyle w:val="TableParagraph"/>
              <w:numPr>
                <w:ilvl w:val="0"/>
                <w:numId w:val="4"/>
              </w:numPr>
              <w:spacing w:lineRule="exact" w:line="261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При именовании параметров методов должен использоваться стиль Lower Camel case</w:t>
            </w:r>
          </w:p>
          <w:p>
            <w:pPr>
              <w:pStyle w:val="TableParagraph"/>
              <w:numPr>
                <w:ilvl w:val="0"/>
                <w:numId w:val="4"/>
              </w:numPr>
              <w:spacing w:lineRule="exact" w:line="261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szCs w:val="22"/>
                <w:lang w:val="ru-RU" w:eastAsia="en-US"/>
              </w:rPr>
              <w:t>Идентификаторы параметров в большинстве случаев должны представлять собой существительные или именные группы. Параметром следует давать описательные имена.</w:t>
            </w:r>
          </w:p>
        </w:tc>
      </w:tr>
      <w:tr>
        <w:trPr>
          <w:trHeight w:val="273" w:hRule="atLeast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Процедура или функция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Нотация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4"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Дешифровка</w:t>
            </w:r>
          </w:p>
        </w:tc>
      </w:tr>
      <w:tr>
        <w:trPr>
          <w:trHeight w:val="277" w:hRule="atLeast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ru-RU" w:eastAsia="en-US"/>
              </w:rPr>
              <w:t>generateRandomMatrix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i/>
                <w:i/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CamelCase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109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Создать матрицу случайными числами</w:t>
            </w:r>
          </w:p>
        </w:tc>
      </w:tr>
      <w:tr>
        <w:trPr>
          <w:trHeight w:val="277" w:hRule="atLeast"/>
        </w:trPr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lang w:val="ru-RU" w:eastAsia="en-US"/>
              </w:rPr>
            </w:pPr>
            <w:r>
              <w:rPr>
                <w:kern w:val="0"/>
                <w:lang w:val="ru-RU" w:eastAsia="en-US"/>
              </w:rPr>
              <w:t>printMatrix()</w:t>
            </w:r>
          </w:p>
        </w:tc>
        <w:tc>
          <w:tcPr>
            <w:tcW w:w="2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i/>
                <w:i/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CamelCase</w:t>
            </w:r>
          </w:p>
        </w:tc>
        <w:tc>
          <w:tcPr>
            <w:tcW w:w="4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109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Вывести матрицу</w:t>
            </w:r>
          </w:p>
        </w:tc>
      </w:tr>
      <w:tr>
        <w:trPr>
          <w:trHeight w:val="277" w:hRule="atLeast"/>
        </w:trPr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lang w:eastAsia="en-US"/>
              </w:rPr>
            </w:pPr>
            <w:r>
              <w:rPr>
                <w:kern w:val="0"/>
                <w:lang w:val="ru-RU" w:eastAsia="en-US"/>
              </w:rPr>
              <w:t>calculateDigitSum</w:t>
            </w:r>
          </w:p>
        </w:tc>
        <w:tc>
          <w:tcPr>
            <w:tcW w:w="2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i/>
                <w:i/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CamelCase</w:t>
            </w:r>
          </w:p>
        </w:tc>
        <w:tc>
          <w:tcPr>
            <w:tcW w:w="4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109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Посчитать сумму цифр</w:t>
            </w:r>
          </w:p>
        </w:tc>
      </w:tr>
      <w:tr>
        <w:trPr>
          <w:trHeight w:val="277" w:hRule="atLeast"/>
        </w:trPr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lang w:eastAsia="en-US"/>
              </w:rPr>
            </w:pPr>
            <w:r>
              <w:rPr>
                <w:kern w:val="0"/>
                <w:lang w:val="ru-RU" w:eastAsia="en-US"/>
              </w:rPr>
              <w:t>modifyMatrix</w:t>
            </w:r>
          </w:p>
        </w:tc>
        <w:tc>
          <w:tcPr>
            <w:tcW w:w="2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i/>
                <w:i/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CamelCase</w:t>
            </w:r>
          </w:p>
        </w:tc>
        <w:tc>
          <w:tcPr>
            <w:tcW w:w="4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109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Модифицировать матрицу</w:t>
            </w:r>
          </w:p>
        </w:tc>
      </w:tr>
      <w:tr>
        <w:trPr>
          <w:trHeight w:val="277" w:hRule="atLeast"/>
        </w:trPr>
        <w:tc>
          <w:tcPr>
            <w:tcW w:w="3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lang w:eastAsia="en-US"/>
              </w:rPr>
            </w:pPr>
            <w:r>
              <w:rPr>
                <w:kern w:val="0"/>
                <w:lang w:val="ru-RU" w:eastAsia="en-US"/>
              </w:rPr>
              <w:t>checkRowForAlternatingSign</w:t>
            </w:r>
          </w:p>
        </w:tc>
        <w:tc>
          <w:tcPr>
            <w:tcW w:w="2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i/>
                <w:i/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CamelCase</w:t>
            </w:r>
          </w:p>
        </w:tc>
        <w:tc>
          <w:tcPr>
            <w:tcW w:w="4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109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Проверка ряда на знакочередование</w:t>
            </w:r>
          </w:p>
        </w:tc>
      </w:tr>
      <w:tr>
        <w:trPr>
          <w:trHeight w:val="277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При именовании недопустимо:</w:t>
            </w:r>
          </w:p>
        </w:tc>
      </w:tr>
      <w:tr>
        <w:trPr>
          <w:trHeight w:val="273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1.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lang w:val="ru-RU" w:eastAsia="en-US"/>
              </w:rPr>
              <w:t>Если из контекста понятно, над каким объектом выполняется действие, то название объекта не следует включать в идентификатор метода</w:t>
            </w:r>
          </w:p>
        </w:tc>
      </w:tr>
      <w:tr>
        <w:trPr>
          <w:trHeight w:val="277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При именовании следует избегать:</w:t>
            </w:r>
          </w:p>
        </w:tc>
      </w:tr>
      <w:tr>
        <w:trPr>
          <w:trHeight w:val="278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1. Использования имена типов, а следует использовать слова, проясняющие семантику</w:t>
            </w:r>
          </w:p>
        </w:tc>
      </w:tr>
      <w:tr>
        <w:trPr>
          <w:trHeight w:val="830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3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b/>
                <w:kern w:val="0"/>
                <w:sz w:val="24"/>
                <w:lang w:val="ru-RU" w:eastAsia="en-US"/>
              </w:rPr>
              <w:t xml:space="preserve">Константы </w:t>
            </w:r>
            <w:r>
              <w:rPr>
                <w:kern w:val="0"/>
                <w:sz w:val="24"/>
                <w:lang w:val="ru-RU" w:eastAsia="en-US"/>
              </w:rPr>
              <w:t>– способ адресации данных, изменение которых рассматриваемой программой не предполагается или запрещается</w:t>
            </w:r>
          </w:p>
          <w:p>
            <w:pPr>
              <w:pStyle w:val="TableParagraph"/>
              <w:spacing w:lineRule="exact" w:line="274" w:before="7" w:after="0"/>
              <w:ind w:left="110" w:right="7276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Правила именования:</w:t>
            </w:r>
          </w:p>
          <w:p>
            <w:pPr>
              <w:pStyle w:val="TableParagraph"/>
              <w:numPr>
                <w:ilvl w:val="0"/>
                <w:numId w:val="7"/>
              </w:numPr>
              <w:spacing w:lineRule="exact" w:line="274" w:before="7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В идентификаторах констант должен использоваться стиль Upper Camel case. Константы должны иметь имена, являющиеся существительными, именными группами или прилагательными.</w:t>
            </w:r>
          </w:p>
          <w:p>
            <w:pPr>
              <w:pStyle w:val="TableParagraph"/>
              <w:numPr>
                <w:ilvl w:val="0"/>
                <w:numId w:val="7"/>
              </w:numPr>
              <w:spacing w:lineRule="exact" w:line="274" w:before="7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Булевы свойства рекомендуется называть в утвердительно форме. При необходимости можно также добавлять и префиксы «Is», «Can» или «Has».</w:t>
            </w:r>
          </w:p>
          <w:p>
            <w:pPr>
              <w:pStyle w:val="TableParagraph"/>
              <w:spacing w:lineRule="exact" w:line="274" w:before="7" w:after="0"/>
              <w:ind w:left="110" w:right="7276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Правила использования:</w:t>
            </w:r>
          </w:p>
          <w:p>
            <w:pPr>
              <w:pStyle w:val="TableParagraph"/>
              <w:numPr>
                <w:ilvl w:val="0"/>
                <w:numId w:val="6"/>
              </w:numPr>
              <w:spacing w:lineRule="exact" w:line="274" w:before="7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Именованные константы (включая значения перечислений) должны быть записаны в верхнем регистре с нижним подчёркиванием в качестве разделителя.</w:t>
            </w:r>
          </w:p>
          <w:p>
            <w:pPr>
              <w:pStyle w:val="TableParagraph"/>
              <w:numPr>
                <w:ilvl w:val="0"/>
                <w:numId w:val="6"/>
              </w:numPr>
              <w:spacing w:lineRule="exact" w:line="274" w:before="7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szCs w:val="22"/>
                <w:lang w:val="ru-RU" w:eastAsia="en-US"/>
              </w:rPr>
              <w:t>Общая практика в сообществе разработчиков C++. Использование таких констант должно быть сведено к минимуму.</w:t>
            </w:r>
          </w:p>
        </w:tc>
      </w:tr>
      <w:tr>
        <w:trPr>
          <w:trHeight w:val="273" w:hRule="atLeast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Константы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Нотация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9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Дешифровка</w:t>
            </w:r>
          </w:p>
        </w:tc>
      </w:tr>
      <w:tr>
        <w:trPr>
          <w:trHeight w:val="278" w:hRule="atLeast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sz w:val="24"/>
                <w:lang w:eastAsia="en-US"/>
              </w:rPr>
            </w:pPr>
            <w:r>
              <w:rPr>
                <w:kern w:val="0"/>
                <w:sz w:val="24"/>
                <w:lang w:val="ru-RU" w:eastAsia="en-US"/>
              </w:rPr>
              <w:t>MATRIX_SIZE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53" w:before="0" w:after="0"/>
              <w:ind w:left="105"/>
              <w:jc w:val="left"/>
              <w:rPr>
                <w:i/>
                <w:i/>
                <w:sz w:val="24"/>
                <w:lang w:eastAsia="en-US"/>
              </w:rPr>
            </w:pPr>
            <w:r>
              <w:rPr>
                <w:kern w:val="0"/>
                <w:sz w:val="24"/>
                <w:lang w:val="en-US" w:eastAsia="en-US"/>
              </w:rPr>
              <w:t>CamelCase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 w:after="0"/>
              <w:ind w:left="109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Размер матрицы</w:t>
            </w:r>
          </w:p>
        </w:tc>
      </w:tr>
      <w:tr>
        <w:trPr>
          <w:trHeight w:val="551" w:hRule="atLeast"/>
        </w:trPr>
        <w:tc>
          <w:tcPr>
            <w:tcW w:w="9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2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b/>
                <w:kern w:val="0"/>
                <w:sz w:val="24"/>
                <w:lang w:val="ru-RU" w:eastAsia="en-US"/>
              </w:rPr>
              <w:t xml:space="preserve">Локальные переменные </w:t>
            </w:r>
            <w:r>
              <w:rPr>
                <w:kern w:val="0"/>
                <w:sz w:val="24"/>
                <w:lang w:val="ru-RU" w:eastAsia="en-US"/>
              </w:rPr>
              <w:t>– переменные, объявленные внутри блока кода</w:t>
            </w:r>
          </w:p>
          <w:p>
            <w:pPr>
              <w:pStyle w:val="TableParagraph"/>
              <w:spacing w:lineRule="exact" w:line="27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Правила именования:</w:t>
            </w:r>
          </w:p>
          <w:p>
            <w:pPr>
              <w:pStyle w:val="TableParagraph"/>
              <w:numPr>
                <w:ilvl w:val="0"/>
                <w:numId w:val="8"/>
              </w:numPr>
              <w:spacing w:lineRule="exact" w:line="27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lang w:val="ru-RU" w:eastAsia="en-US"/>
              </w:rPr>
              <w:t>При именовании переменных должен использоваться стиль Lower Camel case</w:t>
            </w:r>
          </w:p>
          <w:p>
            <w:pPr>
              <w:pStyle w:val="TableParagraph"/>
              <w:numPr>
                <w:ilvl w:val="0"/>
                <w:numId w:val="8"/>
              </w:numPr>
              <w:spacing w:lineRule="exact" w:line="270" w:before="0" w:after="0"/>
              <w:jc w:val="left"/>
              <w:rPr>
                <w:sz w:val="24"/>
                <w:lang w:val="ru-RU" w:eastAsia="en-US"/>
              </w:rPr>
            </w:pPr>
            <w:r>
              <w:rPr>
                <w:kern w:val="0"/>
                <w:sz w:val="24"/>
                <w:szCs w:val="22"/>
                <w:lang w:val="ru-RU" w:eastAsia="en-US"/>
              </w:rPr>
              <w:t>Идентификаторы переменных в большинстве случаев должны представлять собой существительные или именные группы. Переменным следует давать описательные имена.</w:t>
            </w:r>
          </w:p>
        </w:tc>
      </w:tr>
      <w:tr>
        <w:trPr>
          <w:trHeight w:val="278" w:hRule="atLeast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Локальные переменные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Нотация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Дешифровка</w:t>
            </w:r>
          </w:p>
        </w:tc>
      </w:tr>
      <w:tr>
        <w:trPr>
          <w:trHeight w:val="273" w:hRule="atLeast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jc w:val="left"/>
              <w:rPr>
                <w:sz w:val="24"/>
              </w:rPr>
            </w:pPr>
            <w:r>
              <w:rPr/>
              <w:t>numberOfRow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0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LowerCamelCase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0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Номер строки</w:t>
            </w:r>
          </w:p>
        </w:tc>
      </w:tr>
    </w:tbl>
    <w:p>
      <w:pPr>
        <w:pStyle w:val="BodyText"/>
        <w:ind w:left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bCs/>
          <w:sz w:val="28"/>
          <w:szCs w:val="28"/>
        </w:rPr>
        <w:t xml:space="preserve"> в ходе данной лабораторной работы были сформированы практические навыки следования стандарту кодирования при разработке программного обеспечения.</w:t>
      </w:r>
    </w:p>
    <w:sectPr>
      <w:footerReference w:type="default" r:id="rId5"/>
      <w:footerReference w:type="first" r:id="rId6"/>
      <w:type w:val="nextPage"/>
      <w:pgSz w:w="11906" w:h="16838"/>
      <w:pgMar w:left="1136" w:right="1136" w:gutter="0" w:header="0" w:top="1136" w:footer="1136" w:bottom="156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8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8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8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8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8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8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paragraph" w:styleId="Style13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3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5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6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7464</TotalTime>
  <Application>LibreOffice/7.6.5.2$Linux_X86_64 LibreOffice_project/60$Build-2</Application>
  <AppVersion>15.0000</AppVersion>
  <Pages>6</Pages>
  <Words>1085</Words>
  <Characters>6962</Characters>
  <CharactersWithSpaces>8263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2024-04-06T07:33:53Z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