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№5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«Перевод чисел из одной позиционной системы счисления в другую. Арифметические операции.»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>сформировать навыки перевода чисел из различных позиционных систем счисления и выполнения арифметических операций над числами в заданной позиционной системе.</w:t>
      </w: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Задачи: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Выполнить перевод чисел из позиционных систем счисления с основанием 2, 8, 16.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Выполнить соответствующие математические операции над заданными числами.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4"/>
        </w:rPr>
        <w:t>Задача 1: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а) 949(10):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Десятичное: 949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Двоичное: 1110110101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Восьмеричное: 1665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Шестнадцатеричное: 3B5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б) 763(10):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Десятичное: 763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Двоичное: 1011111011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Восьмеричное: 1373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Шестнадцатеричное: 2FB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в) 994,125(10):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Десятичное: 994.125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Двоичное: 1111100010.001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Восьмеричное: 1742.1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Шестнадцатеричное: 3E2.2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г) 523,25(10):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Десятичное: 523.25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Двоичное: 1000001011.01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Восьмеричное: 1003.2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Шестнадцатеричное: 20B.4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д) 203,82(10):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Десятичное: 203.82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Двоичное: 11001011.1101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Восьмеричное: 313.64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- Шестнадцатеричное: CB.D</w:t>
            </w:r>
          </w:p>
        </w:tc>
      </w:tr>
    </w:tbl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а) 1110001111(2)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935</w:t>
      </w:r>
      <w:r>
        <w:rPr>
          <w:sz w:val="28"/>
          <w:szCs w:val="24"/>
        </w:rPr>
        <w:t>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б) 100011011(2) </w:t>
      </w:r>
      <w:r>
        <w:rPr>
          <w:sz w:val="28"/>
          <w:szCs w:val="24"/>
        </w:rPr>
        <w:t>= 395(10)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в) 1001100101,1001(2) </w:t>
      </w:r>
      <w:r>
        <w:rPr>
          <w:sz w:val="28"/>
          <w:szCs w:val="24"/>
        </w:rPr>
        <w:t>= 309.5625(10)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г) 1001001,011(2) </w:t>
      </w:r>
      <w:r>
        <w:rPr>
          <w:sz w:val="28"/>
          <w:szCs w:val="24"/>
        </w:rPr>
        <w:t>= 73.375(10)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д) 335,7(8) </w:t>
      </w:r>
      <w:r>
        <w:rPr>
          <w:sz w:val="28"/>
          <w:szCs w:val="24"/>
        </w:rPr>
        <w:t>= 221.875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е) 14С,A(16) </w:t>
      </w:r>
      <w:r>
        <w:rPr>
          <w:sz w:val="28"/>
          <w:szCs w:val="24"/>
        </w:rPr>
        <w:t>= 332.625(10)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а) 1110101010(2) + 10111001(2) </w:t>
      </w:r>
      <w:r>
        <w:rPr>
          <w:sz w:val="28"/>
          <w:szCs w:val="24"/>
        </w:rPr>
        <w:t>= 10011001011(2)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938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+ 185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= 1123(10)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б) 10111010(2) + 10010100(2) </w:t>
      </w:r>
      <w:r>
        <w:rPr>
          <w:sz w:val="28"/>
          <w:szCs w:val="24"/>
        </w:rPr>
        <w:t>= 110011110(2)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186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+ 148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= 334(10)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в) 111101110,1011(2) + 1111011110,1(2) </w:t>
      </w:r>
      <w:r>
        <w:rPr>
          <w:sz w:val="28"/>
          <w:szCs w:val="24"/>
        </w:rPr>
        <w:t>= 11101101001.0011(2)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1006.6875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+ 1006.5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= 2013.1875(10)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г) 1153,2(8) + 1147,32(8) </w:t>
      </w:r>
      <w:r>
        <w:rPr>
          <w:sz w:val="28"/>
          <w:szCs w:val="24"/>
        </w:rPr>
        <w:t>= 2320.52(8)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755.125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+ 631.25</w:t>
      </w:r>
      <w:r>
        <w:rPr>
          <w:sz w:val="28"/>
          <w:szCs w:val="24"/>
        </w:rPr>
        <w:t>(10)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= 1386.375(10)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д) 40F,4 (16) + 160,4(16) </w:t>
      </w:r>
      <w:r>
        <w:rPr>
          <w:sz w:val="28"/>
          <w:szCs w:val="24"/>
        </w:rPr>
        <w:t>= 56F.8(16)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1039.25(10) + 352.25(10) = 1391.5(10)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а) 1000000100(2) - 101010001(2) </w:t>
      </w:r>
      <w:r>
        <w:rPr>
          <w:sz w:val="28"/>
          <w:szCs w:val="24"/>
        </w:rPr>
        <w:t>= 11110011(2)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>
        <w:rPr>
          <w:sz w:val="28"/>
          <w:szCs w:val="24"/>
        </w:rPr>
        <w:t xml:space="preserve">516 - 169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347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б) 1010111101(2) - 111000010(2) </w:t>
      </w:r>
      <w:r>
        <w:rPr>
          <w:sz w:val="28"/>
          <w:szCs w:val="24"/>
        </w:rPr>
        <w:t>= 100111101(2)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>
        <w:rPr>
          <w:sz w:val="28"/>
          <w:szCs w:val="24"/>
        </w:rPr>
        <w:t xml:space="preserve">349 - 224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125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в) 1101000000,01(2) - 1001011010,011(2) </w:t>
      </w:r>
      <w:r>
        <w:rPr>
          <w:sz w:val="28"/>
          <w:szCs w:val="24"/>
        </w:rPr>
        <w:t>= 10111001.001(2)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 xml:space="preserve">832.25 - 602.1875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230.0625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г) 2023,5(8) - 527,4(8) </w:t>
      </w:r>
      <w:r>
        <w:rPr>
          <w:sz w:val="28"/>
          <w:szCs w:val="24"/>
        </w:rPr>
        <w:t>= 1474.1(8)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 xml:space="preserve">1059.625 - 343.5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716.125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д) 25Е,6(16) - 1В1.5 (16) </w:t>
      </w:r>
      <w:r>
        <w:rPr>
          <w:sz w:val="28"/>
          <w:szCs w:val="24"/>
        </w:rPr>
        <w:t>= 103.1(16)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 xml:space="preserve">606.375 - 437.3125 </w:t>
      </w:r>
      <w:r>
        <w:rPr>
          <w:sz w:val="28"/>
          <w:szCs w:val="24"/>
        </w:rPr>
        <w:t xml:space="preserve">= </w:t>
      </w:r>
      <w:r>
        <w:rPr>
          <w:sz w:val="28"/>
          <w:szCs w:val="24"/>
        </w:rPr>
        <w:t>169.0625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Задача </w:t>
      </w:r>
      <w:r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а) 1001011(2) * 1010110(2) </w:t>
      </w:r>
      <w:r>
        <w:rPr>
          <w:sz w:val="28"/>
          <w:szCs w:val="24"/>
        </w:rPr>
        <w:t>= 11000011110(2)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>
        <w:rPr>
          <w:sz w:val="28"/>
          <w:szCs w:val="24"/>
        </w:rPr>
        <w:t>75 * 86 = 6450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б) 1650,2(8) * 120,2(8) </w:t>
      </w:r>
      <w:r>
        <w:rPr>
          <w:sz w:val="28"/>
          <w:szCs w:val="24"/>
        </w:rPr>
        <w:t>= 230401.14(8)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>
        <w:rPr>
          <w:sz w:val="28"/>
          <w:szCs w:val="24"/>
        </w:rPr>
        <w:t>872,125 * 104,125 = 90799,34375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в) 19,4(16) * 2F,8(16) </w:t>
      </w:r>
      <w:r>
        <w:rPr>
          <w:sz w:val="28"/>
          <w:szCs w:val="24"/>
        </w:rPr>
        <w:t>=4E9.20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>
        <w:rPr>
          <w:sz w:val="28"/>
          <w:szCs w:val="24"/>
        </w:rPr>
        <w:t>25.25 * 47.5 = 1200,9375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sz w:val="28"/>
          <w:szCs w:val="24"/>
        </w:rPr>
        <w:t xml:space="preserve">  благодаря проделанной работе были приобретены</w:t>
      </w:r>
      <w:r>
        <w:rPr>
          <w:b w:val="false"/>
          <w:bCs w:val="false"/>
          <w:sz w:val="28"/>
          <w:szCs w:val="24"/>
        </w:rPr>
        <w:t xml:space="preserve"> навыки перевода чисел из различных позиционных систем счисления и выполнения арифметических операций над числами в заданной позиционной системе.</w:t>
      </w:r>
      <w:r>
        <w:rPr>
          <w:sz w:val="28"/>
          <w:szCs w:val="24"/>
        </w:rPr>
        <w:t xml:space="preserve"> 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4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5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6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7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8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profspo.ru/books/80539" TargetMode="External"/><Relationship Id="rId5" Type="http://schemas.openxmlformats.org/officeDocument/2006/relationships/hyperlink" Target="https://www.iprbookshop.ru/79705.html" TargetMode="External"/><Relationship Id="rId6" Type="http://schemas.openxmlformats.org/officeDocument/2006/relationships/hyperlink" Target="https://www.iprbookshop.ru/66204.html" TargetMode="External"/><Relationship Id="rId7" Type="http://schemas.openxmlformats.org/officeDocument/2006/relationships/hyperlink" Target="https://www.iprbookshop.ru/110640.html" TargetMode="External"/><Relationship Id="rId8" Type="http://schemas.openxmlformats.org/officeDocument/2006/relationships/hyperlink" Target="https://www.iprbookshop.ru/106713.htm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Application>LibreOffice/7.6.3.1$Linux_X86_64 LibreOffice_project/60$Build-1</Application>
  <AppVersion>15.0000</AppVersion>
  <Pages>4</Pages>
  <Words>605</Words>
  <Characters>4015</Characters>
  <CharactersWithSpaces>4604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2023-11-24T22:26:58Z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