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8d84154868baa66128a689e5b16388fb46fecfc"/>
    <w:p>
      <w:pPr>
        <w:pStyle w:val="Heading1"/>
      </w:pPr>
      <w:r>
        <w:t xml:space="preserve">Прогнозирование овариального ответа и наступления беременности по данным, доступным до начала стимуляции: ретроспективное исследование 1647 циклов ВРТ с анализом выживаемости, причинным сопоставлением и разбором трёх методологических ловушек</w:t>
      </w:r>
    </w:p>
    <w:p>
      <w:pPr>
        <w:pStyle w:val="FirstParagraph"/>
      </w:pPr>
      <w:r>
        <w:rPr>
          <w:b/>
          <w:bCs/>
        </w:rPr>
        <w:t xml:space="preserve">Тип работы.</w:t>
      </w:r>
      <w:r>
        <w:t xml:space="preserve"> </w:t>
      </w:r>
      <w:r>
        <w:t xml:space="preserve">Ретроспективное когортное исследование с разработкой прогностических</w:t>
      </w:r>
      <w:r>
        <w:t xml:space="preserve"> </w:t>
      </w:r>
      <w:r>
        <w:t xml:space="preserve">моделей. Рисунки и подписи к ним подготовлены на английском языке (требование</w:t>
      </w:r>
      <w:r>
        <w:t xml:space="preserve"> </w:t>
      </w:r>
      <w:r>
        <w:t xml:space="preserve">целевого журнала); текст статьи — на русском для последующего перевода.</w:t>
      </w:r>
    </w:p>
    <w:p>
      <w:pPr>
        <w:pStyle w:val="BodyText"/>
      </w:pPr>
      <w:r>
        <w:rPr>
          <w:b/>
          <w:bCs/>
        </w:rPr>
        <w:t xml:space="preserve">Данные.</w:t>
      </w:r>
      <w:r>
        <w:t xml:space="preserve"> </w:t>
      </w:r>
      <w:r>
        <w:t xml:space="preserve">Выгрузки циклов ВРТ клиники за 2023–2025 гг.</w:t>
      </w:r>
      <w:r>
        <w:t xml:space="preserve"> </w:t>
      </w:r>
      <w:r>
        <w:rPr>
          <w:b/>
          <w:bCs/>
        </w:rPr>
        <w:t xml:space="preserve">Расчёты.</w:t>
      </w:r>
      <w:r>
        <w:t xml:space="preserve"> </w:t>
      </w:r>
      <w:r>
        <w:t xml:space="preserve">Вычислительный сервер, фиксированное зерно 20260802, все скрипты и</w:t>
      </w:r>
      <w:r>
        <w:t xml:space="preserve"> </w:t>
      </w:r>
      <w:r>
        <w:t xml:space="preserve">результаты в репозитории.</w:t>
      </w:r>
    </w:p>
    <w:p>
      <w:r>
        <w:pict>
          <v:rect style="width:0;height:1.5pt" o:hralign="center" o:hrstd="t" o:hr="t"/>
        </w:pic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rPr>
          <w:b/>
          <w:bCs/>
        </w:rPr>
        <w:t xml:space="preserve">Актуальность.</w:t>
      </w:r>
      <w:r>
        <w:t xml:space="preserve"> </w:t>
      </w:r>
      <w:r>
        <w:t xml:space="preserve">Выбор протокола овариальной стимуляции требует прогноза ответа</w:t>
      </w:r>
      <w:r>
        <w:t xml:space="preserve"> </w:t>
      </w:r>
      <w:r>
        <w:t xml:space="preserve">яичников до начала лечения. Клиническая практика опирается на пороговые правила по</w:t>
      </w:r>
      <w:r>
        <w:t xml:space="preserve"> </w:t>
      </w:r>
      <w:r>
        <w:t xml:space="preserve">уровню антимюллерова гормона (АМГ). Вопрос о том, добавляют ли методы машинного</w:t>
      </w:r>
      <w:r>
        <w:t xml:space="preserve"> </w:t>
      </w:r>
      <w:r>
        <w:t xml:space="preserve">обучения что-либо сверх такого правила, остаётся открытым, а публикуемые оценки</w:t>
      </w:r>
      <w:r>
        <w:t xml:space="preserve"> </w:t>
      </w:r>
      <w:r>
        <w:t xml:space="preserve">часто завышены из-за методологических ошибок, не видимых по итоговым метрикам.</w:t>
      </w:r>
    </w:p>
    <w:p>
      <w:pPr>
        <w:pStyle w:val="BodyText"/>
      </w:pPr>
      <w:r>
        <w:rPr>
          <w:b/>
          <w:bCs/>
        </w:rPr>
        <w:t xml:space="preserve">Цель.</w:t>
      </w:r>
      <w:r>
        <w:t xml:space="preserve"> </w:t>
      </w:r>
      <w:r>
        <w:t xml:space="preserve">Оценить, насколько точно фактический овариальный ответ прогнозируется по</w:t>
      </w:r>
      <w:r>
        <w:t xml:space="preserve"> </w:t>
      </w:r>
      <w:r>
        <w:t xml:space="preserve">признакам, доступным до начала стимуляции, и сопоставить обучаемые модели с</w:t>
      </w:r>
      <w:r>
        <w:t xml:space="preserve"> </w:t>
      </w:r>
      <w:r>
        <w:t xml:space="preserve">действующим клиническим правилом.</w:t>
      </w:r>
    </w:p>
    <w:p>
      <w:pPr>
        <w:pStyle w:val="BodyText"/>
      </w:pPr>
      <w:r>
        <w:rPr>
          <w:b/>
          <w:bCs/>
        </w:rPr>
        <w:t xml:space="preserve">Материал и методы.</w:t>
      </w:r>
      <w:r>
        <w:t xml:space="preserve"> </w:t>
      </w:r>
      <w:r>
        <w:t xml:space="preserve">Проанализировано 284 343 записи за 2023–2025 гг.; после</w:t>
      </w:r>
      <w:r>
        <w:t xml:space="preserve"> </w:t>
      </w:r>
      <w:r>
        <w:t xml:space="preserve">исключения донорских программ, циклов без пункции и записей с отсутствующим или</w:t>
      </w:r>
      <w:r>
        <w:t xml:space="preserve"> </w:t>
      </w:r>
      <w:r>
        <w:t xml:space="preserve">нефизиологичным значением АМГ в анализ вошло 1647 состоявшихся пункций.</w:t>
      </w:r>
      <w:r>
        <w:t xml:space="preserve"> </w:t>
      </w:r>
      <w:r>
        <w:t xml:space="preserve">Использованы только предлечебные признаки (18 количественных и 9 категориальных);</w:t>
      </w:r>
      <w:r>
        <w:t xml:space="preserve"> </w:t>
      </w:r>
      <w:r>
        <w:t xml:space="preserve">все показатели, регистрируемые в день триггера и позднее, исключены. Прогнозировались</w:t>
      </w:r>
      <w:r>
        <w:t xml:space="preserve"> </w:t>
      </w:r>
      <w:r>
        <w:t xml:space="preserve">семь исходов: трёхклассовый овариальный ответ, число полученных ооцитов, доля зрелых</w:t>
      </w:r>
      <w:r>
        <w:t xml:space="preserve"> </w:t>
      </w:r>
      <w:r>
        <w:t xml:space="preserve">ооцитов, риск бедного ответа (≤3 ооцитов), риск гиперответа (&gt;20 ооцитов), факт</w:t>
      </w:r>
      <w:r>
        <w:t xml:space="preserve"> </w:t>
      </w:r>
      <w:r>
        <w:t xml:space="preserve">проведения пункции и положительный результат ХГЧ. Качество оценивалось пятикратной</w:t>
      </w:r>
      <w:r>
        <w:t xml:space="preserve"> </w:t>
      </w:r>
      <w:r>
        <w:t xml:space="preserve">стратифицированной перекрёстной проверкой. Для каждой задачи задан бейзлайн: для</w:t>
      </w:r>
      <w:r>
        <w:t xml:space="preserve"> </w:t>
      </w:r>
      <w:r>
        <w:t xml:space="preserve">трёхклассового ответа — клиническое правило по АМГ, для остальных — тривиальный</w:t>
      </w:r>
      <w:r>
        <w:t xml:space="preserve"> </w:t>
      </w:r>
      <w:r>
        <w:t xml:space="preserve">классификатор.</w:t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Наилучшее разделение достигнуто для крайних вариантов ответа: риск</w:t>
      </w:r>
      <w:r>
        <w:t xml:space="preserve"> </w:t>
      </w:r>
      <w:r>
        <w:t xml:space="preserve">бедного ответа AUROC 0,897, риск гиперответа AUROC 0,891. Число полученных ооцитов</w:t>
      </w:r>
      <w:r>
        <w:t xml:space="preserve"> </w:t>
      </w:r>
      <w:r>
        <w:t xml:space="preserve">прогнозируется со средней абсолютной ошибкой 4,6 клетки (R² = 0,467). Для</w:t>
      </w:r>
      <w:r>
        <w:t xml:space="preserve"> </w:t>
      </w:r>
      <w:r>
        <w:t xml:space="preserve">трёхклассового ответа модель превзошла клиническое правило (macro-F1 0,694 против</w:t>
      </w:r>
      <w:r>
        <w:t xml:space="preserve"> </w:t>
      </w:r>
      <w:r>
        <w:t xml:space="preserve">0,646). Прогноз наступления беременности по предлечебным данным оказался слабым</w:t>
      </w:r>
      <w:r>
        <w:t xml:space="preserve"> </w:t>
      </w:r>
      <w:r>
        <w:t xml:space="preserve">(AUROC 0,684), доля зрелых ооцитов практически не прогнозируется (R² = 0,128).</w:t>
      </w:r>
    </w:p>
    <w:p>
      <w:pPr>
        <w:pStyle w:val="BodyText"/>
      </w:pPr>
      <w:r>
        <w:rPr>
          <w:b/>
          <w:bCs/>
        </w:rPr>
        <w:t xml:space="preserve">Углублённый анализ.</w:t>
      </w:r>
      <w:r>
        <w:t xml:space="preserve"> </w:t>
      </w:r>
      <w:r>
        <w:t xml:space="preserve">Анализ выживаемости на 3785 циклах (849 событий, 2936</w:t>
      </w:r>
      <w:r>
        <w:t xml:space="preserve"> </w:t>
      </w:r>
      <w:r>
        <w:t xml:space="preserve">цензурированных наблюдений) показал кумулятивную вероятность беременности 0,129 после</w:t>
      </w:r>
      <w:r>
        <w:t xml:space="preserve"> </w:t>
      </w:r>
      <w:r>
        <w:t xml:space="preserve">первой попытки и 0,289 после третьей; стратификация по овариальному резерву дала</w:t>
      </w:r>
      <w:r>
        <w:t xml:space="preserve"> </w:t>
      </w:r>
      <w:r>
        <w:t xml:space="preserve">расхождение кривых с p = 2,9 × 10⁻⁶⁵ (лог-ранговый критерий). Регрессия Кокса выявила</w:t>
      </w:r>
      <w:r>
        <w:t xml:space="preserve"> </w:t>
      </w:r>
      <w:r>
        <w:t xml:space="preserve">независимый вклад АМГ (HR 1,066 на единицу; p &lt; 0,001), возраста (HR 0,944; p &lt; 0,001)</w:t>
      </w:r>
      <w:r>
        <w:t xml:space="preserve"> </w:t>
      </w:r>
      <w:r>
        <w:t xml:space="preserve">и ФСГ (HR 0,986; p = 0,0001) при индексе конкордации 0,696. Сопоставление по склонности</w:t>
      </w:r>
      <w:r>
        <w:t xml:space="preserve"> </w:t>
      </w:r>
      <w:r>
        <w:t xml:space="preserve">показало, что видимое преимущество одного протокола над другим (+3,97 ооцита при прямом</w:t>
      </w:r>
      <w:r>
        <w:t xml:space="preserve"> </w:t>
      </w:r>
      <w:r>
        <w:t xml:space="preserve">сравнении) полностью объясняется различием пациенток: после уравнивания групп эффект</w:t>
      </w:r>
      <w:r>
        <w:t xml:space="preserve"> </w:t>
      </w:r>
      <w:r>
        <w:t xml:space="preserve">составил −0,20 ооцита (212 пар, p = 0,120). Кластеризация выявила девять фенотипов, но</w:t>
      </w:r>
      <w:r>
        <w:t xml:space="preserve"> </w:t>
      </w:r>
      <w:r>
        <w:t xml:space="preserve">разделение по ним оказалось слабее градаций АМГ (p = 1,8 × 10⁻²³ против 1,1 × 10⁻¹⁸¹).</w:t>
      </w:r>
      <w:r>
        <w:t xml:space="preserve"> </w:t>
      </w:r>
      <w:r>
        <w:t xml:space="preserve">Калибровка методом Платта снизила ожидаемую ошибку с 0,080 до 0,041 при сохранении</w:t>
      </w:r>
      <w:r>
        <w:t xml:space="preserve"> </w:t>
      </w:r>
      <w:r>
        <w:t xml:space="preserve">AUROC. Стекинг разнородных моделей дал прирост AUROC лишь +0,0016.</w:t>
      </w:r>
    </w:p>
    <w:p>
      <w:pPr>
        <w:pStyle w:val="BodyText"/>
      </w:pPr>
      <w:r>
        <w:rPr>
          <w:b/>
          <w:bCs/>
        </w:rPr>
        <w:t xml:space="preserve">Методологическая часть.</w:t>
      </w:r>
      <w:r>
        <w:t xml:space="preserve"> </w:t>
      </w:r>
      <w:r>
        <w:t xml:space="preserve">Выявлены и устранены три источника завышенных оценок,</w:t>
      </w:r>
      <w:r>
        <w:t xml:space="preserve"> </w:t>
      </w:r>
      <w:r>
        <w:t xml:space="preserve">каждый из которых при поверхностной проверке выглядел как успех модели: (1) разделение</w:t>
      </w:r>
      <w:r>
        <w:t xml:space="preserve"> </w:t>
      </w:r>
      <w:r>
        <w:t xml:space="preserve">по годам при малом объёме тестовой выборки давало macro-F1 = 0,98, не воспроизводившийся</w:t>
      </w:r>
      <w:r>
        <w:t xml:space="preserve"> </w:t>
      </w:r>
      <w:r>
        <w:t xml:space="preserve">при перекрёстной проверке; (2) признак «категория программы» кодирует исход напрямую;</w:t>
      </w:r>
      <w:r>
        <w:t xml:space="preserve"> </w:t>
      </w:r>
      <w:r>
        <w:t xml:space="preserve">(3) наличие спермограммы равносильно факту проведения пункции — при любом заполненном</w:t>
      </w:r>
      <w:r>
        <w:t xml:space="preserve"> </w:t>
      </w:r>
      <w:r>
        <w:t xml:space="preserve">значении пункция состоялась в 96–100 % записей. Отдельно показано, что экспертная</w:t>
      </w:r>
      <w:r>
        <w:t xml:space="preserve"> </w:t>
      </w:r>
      <w:r>
        <w:t xml:space="preserve">разметка 3056 циклов, собранная с алгоритмической подсказкой, воспроизвела подсказку</w:t>
      </w:r>
      <w:r>
        <w:t xml:space="preserve"> </w:t>
      </w:r>
      <w:r>
        <w:t xml:space="preserve">в 100 % случаев при медианном времени решения 0,93 с и потому не может служить</w:t>
      </w:r>
      <w:r>
        <w:t xml:space="preserve"> </w:t>
      </w:r>
      <w:r>
        <w:t xml:space="preserve">независимой целевой переменной.</w:t>
      </w:r>
    </w:p>
    <w:p>
      <w:pPr>
        <w:pStyle w:val="BodyText"/>
      </w:pPr>
      <w:r>
        <w:rPr>
          <w:b/>
          <w:bCs/>
        </w:rPr>
        <w:t xml:space="preserve">Заключение.</w:t>
      </w:r>
      <w:r>
        <w:t xml:space="preserve"> </w:t>
      </w:r>
      <w:r>
        <w:t xml:space="preserve">Предлечебные данные позволяют надёжно выделять пациенток с риском</w:t>
      </w:r>
      <w:r>
        <w:t xml:space="preserve"> </w:t>
      </w:r>
      <w:r>
        <w:t xml:space="preserve">крайних вариантов овариального ответа — именно тех, для кого коррекция дозы наиболее</w:t>
      </w:r>
      <w:r>
        <w:t xml:space="preserve"> </w:t>
      </w:r>
      <w:r>
        <w:t xml:space="preserve">значима клинически. Прогноз наступления беременности по тем же данным ограничен.</w:t>
      </w:r>
      <w:r>
        <w:t xml:space="preserve"> </w:t>
      </w:r>
      <w:r>
        <w:t xml:space="preserve">Описанные методологические ловушки воспроизводимы и должны проверяться до публикации</w:t>
      </w:r>
      <w:r>
        <w:t xml:space="preserve"> </w:t>
      </w:r>
      <w:r>
        <w:t xml:space="preserve">любых прогностических моделей в ВРТ.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вспомогательные репродуктивные технологии, овариальный ответ,</w:t>
      </w:r>
      <w:r>
        <w:t xml:space="preserve"> </w:t>
      </w:r>
      <w:r>
        <w:t xml:space="preserve">антимюллеров гормон, машинное обучение, утечка данных, синдром гиперстимуляции</w:t>
      </w:r>
      <w:r>
        <w:t xml:space="preserve"> </w:t>
      </w:r>
      <w:r>
        <w:t xml:space="preserve">яичников, экспертная разметка.</w:t>
      </w:r>
    </w:p>
    <w:p>
      <w:r>
        <w:pict>
          <v:rect style="width:0;height:1.5pt" o:hralign="center" o:hrstd="t" o:hr="t"/>
        </w:pict>
      </w:r>
    </w:p>
    <w:bookmarkEnd w:id="9"/>
    <w:bookmarkStart w:id="10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Выбор протокола и стартовой дозы гонадотропинов при экстракорпоральном оплодотворении</w:t>
      </w:r>
      <w:r>
        <w:t xml:space="preserve"> </w:t>
      </w:r>
      <w:r>
        <w:t xml:space="preserve">определяется ожидаемым ответом яичников. Недооценка ответа ведёт к бедному ответу и</w:t>
      </w:r>
      <w:r>
        <w:t xml:space="preserve"> </w:t>
      </w:r>
      <w:r>
        <w:t xml:space="preserve">отмене цикла, переоценка — к синдрому гиперстимуляции яичников. Оба исхода клинически</w:t>
      </w:r>
      <w:r>
        <w:t xml:space="preserve"> </w:t>
      </w:r>
      <w:r>
        <w:t xml:space="preserve">значимы, и оба потенциально предотвратимы, если ответ спрогнозирован заранее.</w:t>
      </w:r>
    </w:p>
    <w:p>
      <w:pPr>
        <w:pStyle w:val="BodyText"/>
      </w:pPr>
      <w:r>
        <w:t xml:space="preserve">В повседневной практике прогноз строится на пороговых значениях АМГ. Такое правило</w:t>
      </w:r>
      <w:r>
        <w:t xml:space="preserve"> </w:t>
      </w:r>
      <w:r>
        <w:t xml:space="preserve">просто, объяснимо и потому широко применяется. Вопрос, который ставит настоящая работа,</w:t>
      </w:r>
      <w:r>
        <w:t xml:space="preserve"> </w:t>
      </w:r>
      <w:r>
        <w:t xml:space="preserve">формулируется узко:</w:t>
      </w:r>
      <w:r>
        <w:t xml:space="preserve"> </w:t>
      </w:r>
      <w:r>
        <w:rPr>
          <w:b/>
          <w:bCs/>
        </w:rPr>
        <w:t xml:space="preserve">добавляет ли обучаемая модель что-либо сверх этого правила, если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пользоваться только теми данными, которые действительно доступны врачу в момент</w:t>
      </w:r>
      <w:r>
        <w:rPr>
          <w:b/>
          <w:bCs/>
        </w:rPr>
        <w:t xml:space="preserve"> </w:t>
      </w:r>
      <w:r>
        <w:rPr>
          <w:b/>
          <w:bCs/>
        </w:rPr>
        <w:t xml:space="preserve">принятия решения?</w:t>
      </w:r>
    </w:p>
    <w:p>
      <w:pPr>
        <w:pStyle w:val="BodyText"/>
      </w:pPr>
      <w:r>
        <w:t xml:space="preserve">Ограничение «только предлечебные признаки» существенно. Показатели, регистрируемые в</w:t>
      </w:r>
      <w:r>
        <w:t xml:space="preserve"> </w:t>
      </w:r>
      <w:r>
        <w:t xml:space="preserve">день триггера или на пункции, тесно связаны с числом полученных ооцитов и резко</w:t>
      </w:r>
      <w:r>
        <w:t xml:space="preserve"> </w:t>
      </w:r>
      <w:r>
        <w:t xml:space="preserve">повышают формальную точность модели, оставаясь при этом бесполезными: в момент выбора</w:t>
      </w:r>
      <w:r>
        <w:t xml:space="preserve"> </w:t>
      </w:r>
      <w:r>
        <w:t xml:space="preserve">протокола их не существует. Настоящая работа последовательно исключает такие признаки</w:t>
      </w:r>
      <w:r>
        <w:t xml:space="preserve"> </w:t>
      </w:r>
      <w:r>
        <w:t xml:space="preserve">и отдельно демонстрирует, к каким величинам приводит их случайное включение.</w:t>
      </w:r>
    </w:p>
    <w:bookmarkEnd w:id="10"/>
    <w:bookmarkStart w:id="15" w:name="материал-и-методы"/>
    <w:p>
      <w:pPr>
        <w:pStyle w:val="Heading2"/>
      </w:pPr>
      <w:r>
        <w:t xml:space="preserve">2. Материал и методы</w:t>
      </w:r>
    </w:p>
    <w:bookmarkStart w:id="11" w:name="источник-данных-и-формирование-когорты"/>
    <w:p>
      <w:pPr>
        <w:pStyle w:val="Heading3"/>
      </w:pPr>
      <w:r>
        <w:t xml:space="preserve">2.1. Источник данных и формирование когорты</w:t>
      </w:r>
    </w:p>
    <w:p>
      <w:pPr>
        <w:pStyle w:val="FirstParagraph"/>
      </w:pPr>
      <w:r>
        <w:t xml:space="preserve">Использованы годовые выгрузки клиники за 2023, 2024 и 2025 гг. Общее число записей —</w:t>
      </w:r>
      <w:r>
        <w:t xml:space="preserve"> </w:t>
      </w:r>
      <w:r>
        <w:t xml:space="preserve">284 343; число колонок, присутствующих одновременно во всех трёх годах, — 242.</w:t>
      </w:r>
    </w:p>
    <w:p>
      <w:pPr>
        <w:pStyle w:val="BodyText"/>
      </w:pPr>
      <w:r>
        <w:t xml:space="preserve">Последовательно применены следующие критерии исключения: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Донорские программы.</w:t>
      </w:r>
      <w:r>
        <w:t xml:space="preserve"> </w:t>
      </w:r>
      <w:r>
        <w:t xml:space="preserve">В них измеряется ответ донора, а не пациентки.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Циклы без пункции.</w:t>
      </w:r>
      <w:r>
        <w:t xml:space="preserve"> </w:t>
      </w:r>
      <w:r>
        <w:t xml:space="preserve">Нулевое значение в колонке «получено ооцитов» означает не</w:t>
      </w:r>
      <w:r>
        <w:t xml:space="preserve"> </w:t>
      </w:r>
      <w:r>
        <w:t xml:space="preserve">нулевой ответ яичников, а отсутствие пункции в данной записи: криоперенос,</w:t>
      </w:r>
      <w:r>
        <w:t xml:space="preserve"> </w:t>
      </w:r>
      <w:r>
        <w:t xml:space="preserve">отменённый цикл, программа иного типа. В выгрузке 2025 г. таких записей 2100 из 2295. Их включение превращает задачу прогноза ответа в задачу прогноза самого</w:t>
      </w:r>
      <w:r>
        <w:t xml:space="preserve"> </w:t>
      </w:r>
      <w:r>
        <w:t xml:space="preserve">факта пункции.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Отсутствующее или нефизиологичное значение АМГ</w:t>
      </w:r>
      <w:r>
        <w:t xml:space="preserve"> </w:t>
      </w:r>
      <w:r>
        <w:t xml:space="preserve">(вне диапазона 0–30 нг/мл).</w:t>
      </w:r>
    </w:p>
    <w:p>
      <w:pPr>
        <w:pStyle w:val="FirstParagraph"/>
      </w:pPr>
      <w:r>
        <w:t xml:space="preserve">После фильтрации в анализ вошло</w:t>
      </w:r>
      <w:r>
        <w:t xml:space="preserve"> </w:t>
      </w:r>
      <w:r>
        <w:rPr>
          <w:b/>
          <w:bCs/>
        </w:rPr>
        <w:t xml:space="preserve">1647 состоявшихся пункций</w:t>
      </w:r>
      <w:r>
        <w:t xml:space="preserve">.</w:t>
      </w:r>
    </w:p>
    <w:bookmarkEnd w:id="11"/>
    <w:bookmarkStart w:id="12" w:name="признаки"/>
    <w:p>
      <w:pPr>
        <w:pStyle w:val="Heading3"/>
      </w:pPr>
      <w:r>
        <w:t xml:space="preserve">2.2. Признаки</w:t>
      </w:r>
    </w:p>
    <w:p>
      <w:pPr>
        <w:pStyle w:val="FirstParagraph"/>
      </w:pPr>
      <w:r>
        <w:t xml:space="preserve">Использованы исключительно предлечебные признаки: 18 количественных (АМГ, возраст</w:t>
      </w:r>
      <w:r>
        <w:t xml:space="preserve"> </w:t>
      </w:r>
      <w:r>
        <w:t xml:space="preserve">пациентки и супруга, рост, вес, индекс массы тела обоих супругов, ФСГ, ЛГ, ТТГ,</w:t>
      </w:r>
      <w:r>
        <w:t xml:space="preserve"> </w:t>
      </w:r>
      <w:r>
        <w:t xml:space="preserve">пролактин, длительность бесплодия, номер попытки, число браков, число гистероскопий,</w:t>
      </w:r>
      <w:r>
        <w:t xml:space="preserve"> </w:t>
      </w:r>
      <w:r>
        <w:t xml:space="preserve">МАР-тест, морфология сперматозоидов, доля форм A+B) и 9 категориальных (тип и диагноз</w:t>
      </w:r>
      <w:r>
        <w:t xml:space="preserve"> </w:t>
      </w:r>
      <w:r>
        <w:t xml:space="preserve">бесплодия, кариотип, тип финансирования, результат метросальпингографии, диагноз по</w:t>
      </w:r>
      <w:r>
        <w:t xml:space="preserve"> </w:t>
      </w:r>
      <w:r>
        <w:t xml:space="preserve">данным гистероскопии, национальность).</w:t>
      </w:r>
    </w:p>
    <w:p>
      <w:pPr>
        <w:pStyle w:val="BodyText"/>
      </w:pPr>
      <w:r>
        <w:t xml:space="preserve">Признак «число антральных фолликулов» (КАФ) исключён: он заполнен в 15 записях из</w:t>
      </w:r>
      <w:r>
        <w:t xml:space="preserve"> </w:t>
      </w:r>
      <w:r>
        <w:t xml:space="preserve">3056 размеченных, то есть менее чем в 1 % случаев, хотя клинически является одним из</w:t>
      </w:r>
      <w:r>
        <w:t xml:space="preserve"> </w:t>
      </w:r>
      <w:r>
        <w:t xml:space="preserve">основных показателей овариального резерва.</w:t>
      </w:r>
    </w:p>
    <w:bookmarkEnd w:id="12"/>
    <w:bookmarkStart w:id="13" w:name="прогнозируемые-исходы"/>
    <w:p>
      <w:pPr>
        <w:pStyle w:val="Heading3"/>
      </w:pPr>
      <w:r>
        <w:t xml:space="preserve">2.3. Прогнозируемые исходы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Овариальный ответ</w:t>
            </w:r>
          </w:p>
        </w:tc>
        <w:tc>
          <w:tcPr/>
          <w:p>
            <w:pPr>
              <w:pStyle w:val="Compact"/>
            </w:pPr>
            <w:r>
              <w:t xml:space="preserve">3 класса</w:t>
            </w:r>
          </w:p>
        </w:tc>
        <w:tc>
          <w:tcPr/>
          <w:p>
            <w:pPr>
              <w:pStyle w:val="Compact"/>
            </w:pPr>
            <w:r>
              <w:t xml:space="preserve">≤3 / 4–15 / &gt;15 полученных ооцитов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Число ооцитов</w:t>
            </w:r>
          </w:p>
        </w:tc>
        <w:tc>
          <w:tcPr/>
          <w:p>
            <w:pPr>
              <w:pStyle w:val="Compact"/>
            </w:pPr>
            <w:r>
              <w:t xml:space="preserve">регрессия</w:t>
            </w:r>
          </w:p>
        </w:tc>
        <w:tc>
          <w:tcPr/>
          <w:p>
            <w:pPr>
              <w:pStyle w:val="Compact"/>
            </w:pPr>
            <w:r>
              <w:t xml:space="preserve">фактическое 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Доля зрелых ооцитов</w:t>
            </w:r>
          </w:p>
        </w:tc>
        <w:tc>
          <w:tcPr/>
          <w:p>
            <w:pPr>
              <w:pStyle w:val="Compact"/>
            </w:pPr>
            <w:r>
              <w:t xml:space="preserve">регрессия</w:t>
            </w:r>
          </w:p>
        </w:tc>
        <w:tc>
          <w:tcPr/>
          <w:p>
            <w:pPr>
              <w:pStyle w:val="Compact"/>
            </w:pPr>
            <w:r>
              <w:t xml:space="preserve">MII / всего полученных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Риск гиперответа</w:t>
            </w:r>
          </w:p>
        </w:tc>
        <w:tc>
          <w:tcPr/>
          <w:p>
            <w:pPr>
              <w:pStyle w:val="Compact"/>
            </w:pPr>
            <w:r>
              <w:t xml:space="preserve">бинарная</w:t>
            </w:r>
          </w:p>
        </w:tc>
        <w:tc>
          <w:tcPr/>
          <w:p>
            <w:pPr>
              <w:pStyle w:val="Compact"/>
            </w:pPr>
            <w:r>
              <w:t xml:space="preserve">&gt;20 ооцитов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Риск бедного ответа</w:t>
            </w:r>
          </w:p>
        </w:tc>
        <w:tc>
          <w:tcPr/>
          <w:p>
            <w:pPr>
              <w:pStyle w:val="Compact"/>
            </w:pPr>
            <w:r>
              <w:t xml:space="preserve">бинарная</w:t>
            </w:r>
          </w:p>
        </w:tc>
        <w:tc>
          <w:tcPr/>
          <w:p>
            <w:pPr>
              <w:pStyle w:val="Compact"/>
            </w:pPr>
            <w:r>
              <w:t xml:space="preserve">≤3 ооцитов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Проведение пункции</w:t>
            </w:r>
          </w:p>
        </w:tc>
        <w:tc>
          <w:tcPr/>
          <w:p>
            <w:pPr>
              <w:pStyle w:val="Compact"/>
            </w:pPr>
            <w:r>
              <w:t xml:space="preserve">бинарная</w:t>
            </w:r>
          </w:p>
        </w:tc>
        <w:tc>
          <w:tcPr/>
          <w:p>
            <w:pPr>
              <w:pStyle w:val="Compact"/>
            </w:pPr>
            <w:r>
              <w:t xml:space="preserve">состоялась / не состоялась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Наступление беременности</w:t>
            </w:r>
          </w:p>
        </w:tc>
        <w:tc>
          <w:tcPr/>
          <w:p>
            <w:pPr>
              <w:pStyle w:val="Compact"/>
            </w:pPr>
            <w:r>
              <w:t xml:space="preserve">бинарная</w:t>
            </w:r>
          </w:p>
        </w:tc>
        <w:tc>
          <w:tcPr/>
          <w:p>
            <w:pPr>
              <w:pStyle w:val="Compact"/>
            </w:pPr>
            <w:r>
              <w:t xml:space="preserve">положительный ХГЧ</w:t>
            </w:r>
          </w:p>
        </w:tc>
      </w:tr>
    </w:tbl>
    <w:bookmarkEnd w:id="13"/>
    <w:bookmarkStart w:id="14" w:name="модели-и-оценка-качества"/>
    <w:p>
      <w:pPr>
        <w:pStyle w:val="Heading3"/>
      </w:pPr>
      <w:r>
        <w:t xml:space="preserve">2.4. Модели и оценка качества</w:t>
      </w:r>
    </w:p>
    <w:p>
      <w:pPr>
        <w:pStyle w:val="FirstParagraph"/>
      </w:pPr>
      <w:r>
        <w:t xml:space="preserve">Сопоставлены логистическая регрессия, случайный лес и градиентный бустинг на основе</w:t>
      </w:r>
      <w:r>
        <w:t xml:space="preserve"> </w:t>
      </w:r>
      <w:r>
        <w:t xml:space="preserve">гистограмм. Пропуски количественных признаков заполнены медианой, категориальные</w:t>
      </w:r>
      <w:r>
        <w:t xml:space="preserve"> </w:t>
      </w:r>
      <w:r>
        <w:t xml:space="preserve">закодированы прямым кодированием с объединением редких категорий (менее 15</w:t>
      </w:r>
      <w:r>
        <w:t xml:space="preserve"> </w:t>
      </w:r>
      <w:r>
        <w:t xml:space="preserve">наблюдений).</w:t>
      </w:r>
    </w:p>
    <w:p>
      <w:pPr>
        <w:pStyle w:val="BodyText"/>
      </w:pPr>
      <w:r>
        <w:t xml:space="preserve">Качество оценивалось</w:t>
      </w:r>
      <w:r>
        <w:t xml:space="preserve"> </w:t>
      </w:r>
      <w:r>
        <w:rPr>
          <w:b/>
          <w:bCs/>
        </w:rPr>
        <w:t xml:space="preserve">пятикратной стратифицированной перекрёстной проверкой</w:t>
      </w:r>
      <w:r>
        <w:t xml:space="preserve"> </w:t>
      </w:r>
      <w:r>
        <w:t xml:space="preserve">на</w:t>
      </w:r>
      <w:r>
        <w:t xml:space="preserve"> </w:t>
      </w:r>
      <w:r>
        <w:t xml:space="preserve">всём объёме данных. Выбор в пользу перекрёстной проверки, а не однократного разделения</w:t>
      </w:r>
      <w:r>
        <w:t xml:space="preserve"> </w:t>
      </w:r>
      <w:r>
        <w:t xml:space="preserve">по годам, обоснован в разделе 3.10: при разделении по годам объём тестовой выборки</w:t>
      </w:r>
      <w:r>
        <w:t xml:space="preserve"> </w:t>
      </w:r>
      <w:r>
        <w:t xml:space="preserve">после всех фильтров составлял 87 наблюдений, и полученная на ней оценка не</w:t>
      </w:r>
      <w:r>
        <w:t xml:space="preserve"> </w:t>
      </w:r>
      <w:r>
        <w:t xml:space="preserve">воспроизводилась.</w:t>
      </w:r>
    </w:p>
    <w:p>
      <w:pPr>
        <w:pStyle w:val="BodyText"/>
      </w:pPr>
      <w:r>
        <w:t xml:space="preserve">Для каждой задачи указан бейзлайн. Для задачи 1 это клиническое правило по АМГ,</w:t>
      </w:r>
      <w:r>
        <w:t xml:space="preserve"> </w:t>
      </w:r>
      <w:r>
        <w:t xml:space="preserve">сведённое к трём классам (≤0,60 — низкий ответ; 0,61–2,00 — нормальный; &gt;2,00 —</w:t>
      </w:r>
      <w:r>
        <w:t xml:space="preserve"> </w:t>
      </w:r>
      <w:r>
        <w:t xml:space="preserve">высокий). Для бинарных задач — классификатор, всегда предсказывающий преобладающий</w:t>
      </w:r>
      <w:r>
        <w:t xml:space="preserve"> </w:t>
      </w:r>
      <w:r>
        <w:t xml:space="preserve">класс. Без бейзлайна значения accuracy при несбалансированных классах не</w:t>
      </w:r>
      <w:r>
        <w:t xml:space="preserve"> </w:t>
      </w:r>
      <w:r>
        <w:t xml:space="preserve">интерпретируемы: тривиальный классификатор даёт accuracy 0,85 для задачи 4 и 0,83 для</w:t>
      </w:r>
      <w:r>
        <w:t xml:space="preserve"> </w:t>
      </w:r>
      <w:r>
        <w:t xml:space="preserve">задачи 5.</w:t>
      </w:r>
    </w:p>
    <w:bookmarkEnd w:id="14"/>
    <w:bookmarkEnd w:id="15"/>
    <w:bookmarkStart w:id="27" w:name="результаты"/>
    <w:p>
      <w:pPr>
        <w:pStyle w:val="Heading2"/>
      </w:pPr>
      <w:r>
        <w:t xml:space="preserve">3. Результаты</w:t>
      </w:r>
    </w:p>
    <w:bookmarkStart w:id="16" w:name="разделение-крайних-вариантов-ответа"/>
    <w:p>
      <w:pPr>
        <w:pStyle w:val="Heading3"/>
      </w:pPr>
      <w:r>
        <w:t xml:space="preserve">3.1. Разделение крайних вариантов ответа</w:t>
      </w:r>
    </w:p>
    <w:p>
      <w:pPr>
        <w:pStyle w:val="FirstParagraph"/>
      </w:pPr>
      <w:r>
        <w:t xml:space="preserve">Наилучшее качество достигнуто для клинически наиболее значимых исходов — крайних</w:t>
      </w:r>
      <w:r>
        <w:t xml:space="preserve"> </w:t>
      </w:r>
      <w:r>
        <w:t xml:space="preserve">вариантов ответа (</w:t>
      </w:r>
      <w:r>
        <w:rPr>
          <w:b/>
          <w:bCs/>
        </w:rPr>
        <w:t xml:space="preserve">Рисунок 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Лучшая модель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Бейзлайн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 бедного ответа (≤3 ооцитов)</w:t>
            </w:r>
          </w:p>
        </w:tc>
        <w:tc>
          <w:tcPr/>
          <w:p>
            <w:pPr>
              <w:pStyle w:val="Compact"/>
            </w:pPr>
            <w:r>
              <w:t xml:space="preserve">случайный лес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0,897</w:t>
            </w:r>
          </w:p>
        </w:tc>
        <w:tc>
          <w:tcPr/>
          <w:p>
            <w:pPr>
              <w:pStyle w:val="Compact"/>
            </w:pPr>
            <w:r>
              <w:t xml:space="preserve">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 гиперответа (&gt;20 ооцитов)</w:t>
            </w:r>
          </w:p>
        </w:tc>
        <w:tc>
          <w:tcPr/>
          <w:p>
            <w:pPr>
              <w:pStyle w:val="Compact"/>
            </w:pPr>
            <w:r>
              <w:t xml:space="preserve">случайный лес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0,891</w:t>
            </w:r>
          </w:p>
        </w:tc>
        <w:tc>
          <w:tcPr/>
          <w:p>
            <w:pPr>
              <w:pStyle w:val="Compact"/>
            </w:pPr>
            <w:r>
              <w:t xml:space="preserve">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Проведение пункции</w:t>
            </w:r>
          </w:p>
        </w:tc>
        <w:tc>
          <w:tcPr/>
          <w:p>
            <w:pPr>
              <w:pStyle w:val="Compact"/>
            </w:pPr>
            <w:r>
              <w:t xml:space="preserve">градиентный бустинг</w:t>
            </w:r>
          </w:p>
        </w:tc>
        <w:tc>
          <w:tcPr/>
          <w:p>
            <w:pPr>
              <w:pStyle w:val="Compact"/>
            </w:pPr>
            <w:r>
              <w:t xml:space="preserve">0,743</w:t>
            </w:r>
          </w:p>
        </w:tc>
        <w:tc>
          <w:tcPr/>
          <w:p>
            <w:pPr>
              <w:pStyle w:val="Compact"/>
            </w:pPr>
            <w:r>
              <w:t xml:space="preserve">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Наступление беременности</w:t>
            </w:r>
          </w:p>
        </w:tc>
        <w:tc>
          <w:tcPr/>
          <w:p>
            <w:pPr>
              <w:pStyle w:val="Compact"/>
            </w:pPr>
            <w:r>
              <w:t xml:space="preserve">случайный лес</w:t>
            </w:r>
          </w:p>
        </w:tc>
        <w:tc>
          <w:tcPr/>
          <w:p>
            <w:pPr>
              <w:pStyle w:val="Compact"/>
            </w:pPr>
            <w:r>
              <w:t xml:space="preserve">0,684</w:t>
            </w:r>
          </w:p>
        </w:tc>
        <w:tc>
          <w:tcPr/>
          <w:p>
            <w:pPr>
              <w:pStyle w:val="Compact"/>
            </w:pPr>
            <w:r>
              <w:t xml:space="preserve">0,500</w:t>
            </w:r>
          </w:p>
        </w:tc>
      </w:tr>
    </w:tbl>
    <w:p>
      <w:pPr>
        <w:pStyle w:val="BodyText"/>
      </w:pPr>
      <w:r>
        <w:t xml:space="preserve">Именно для крайних вариантов ответа коррекция стартовой дозы наиболее значима:</w:t>
      </w:r>
      <w:r>
        <w:t xml:space="preserve"> </w:t>
      </w:r>
      <w:r>
        <w:t xml:space="preserve">при ожидаемом бедном ответе обсуждается повышение дозы или смена протокола, при</w:t>
      </w:r>
      <w:r>
        <w:t xml:space="preserve"> </w:t>
      </w:r>
      <w:r>
        <w:t xml:space="preserve">ожидаемом гиперответе — снижение дозы, замена триггера и сегментация цикла.</w:t>
      </w:r>
    </w:p>
    <w:bookmarkEnd w:id="16"/>
    <w:bookmarkStart w:id="17" w:name="число-полученных-ооцитов"/>
    <w:p>
      <w:pPr>
        <w:pStyle w:val="Heading3"/>
      </w:pPr>
      <w:r>
        <w:t xml:space="preserve">3.2. Число полученных ооцитов</w:t>
      </w:r>
    </w:p>
    <w:p>
      <w:pPr>
        <w:pStyle w:val="FirstParagraph"/>
      </w:pPr>
      <w:r>
        <w:t xml:space="preserve">Градиентный бустинг прогнозирует число полученных ооцитов со средней абсолютной</w:t>
      </w:r>
      <w:r>
        <w:t xml:space="preserve"> </w:t>
      </w:r>
      <w:r>
        <w:t xml:space="preserve">ошибкой</w:t>
      </w:r>
      <w:r>
        <w:t xml:space="preserve"> </w:t>
      </w:r>
      <w:r>
        <w:rPr>
          <w:b/>
          <w:bCs/>
        </w:rPr>
        <w:t xml:space="preserve">4,6 клетки</w:t>
      </w:r>
      <w:r>
        <w:t xml:space="preserve"> </w:t>
      </w:r>
      <w:r>
        <w:t xml:space="preserve">и объясняет</w:t>
      </w:r>
      <w:r>
        <w:t xml:space="preserve"> </w:t>
      </w:r>
      <w:r>
        <w:rPr>
          <w:b/>
          <w:bCs/>
        </w:rPr>
        <w:t xml:space="preserve">46,7 %</w:t>
      </w:r>
      <w:r>
        <w:t xml:space="preserve"> </w:t>
      </w:r>
      <w:r>
        <w:t xml:space="preserve">дисперсии (R² = 0,467) против R² = −0,05</w:t>
      </w:r>
      <w:r>
        <w:t xml:space="preserve"> </w:t>
      </w:r>
      <w:r>
        <w:t xml:space="preserve">у предсказания медианой. Для сравнения, межцикловая вариабельность ответа у одной</w:t>
      </w:r>
      <w:r>
        <w:t xml:space="preserve"> </w:t>
      </w:r>
      <w:r>
        <w:t xml:space="preserve">пациентки того же порядка, что и полученная ошибка.</w:t>
      </w:r>
    </w:p>
    <w:bookmarkEnd w:id="17"/>
    <w:bookmarkStart w:id="18" w:name="сопоставление-с-клиническим-правилом"/>
    <w:p>
      <w:pPr>
        <w:pStyle w:val="Heading3"/>
      </w:pPr>
      <w:r>
        <w:t xml:space="preserve">3.3. Сопоставление с клиническим правилом</w:t>
      </w:r>
    </w:p>
    <w:p>
      <w:pPr>
        <w:pStyle w:val="FirstParagraph"/>
      </w:pPr>
      <w:r>
        <w:t xml:space="preserve">Для трёхклассового ответа обучаемая модель превосходит клиническое правило по АМГ</w:t>
      </w:r>
      <w:r>
        <w:t xml:space="preserve"> </w:t>
      </w:r>
      <w:r>
        <w:t xml:space="preserve">(</w:t>
      </w:r>
      <w:r>
        <w:rPr>
          <w:b/>
          <w:bCs/>
        </w:rPr>
        <w:t xml:space="preserve">Рисунок 3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 лес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Градиентный бустинг</w:t>
            </w:r>
          </w:p>
        </w:tc>
        <w:tc>
          <w:tcPr/>
          <w:p>
            <w:pPr>
              <w:pStyle w:val="Compact"/>
            </w:pPr>
            <w:r>
              <w:t xml:space="preserve">0,664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Клиническое правило по АМГ</w:t>
            </w:r>
          </w:p>
        </w:tc>
        <w:tc>
          <w:tcPr/>
          <w:p>
            <w:pPr>
              <w:pStyle w:val="Compact"/>
            </w:pPr>
            <w:r>
              <w:t xml:space="preserve">0,646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Логистическая регрессия</w:t>
            </w:r>
          </w:p>
        </w:tc>
        <w:tc>
          <w:tcPr/>
          <w:p>
            <w:pPr>
              <w:pStyle w:val="Compact"/>
            </w:pPr>
            <w:r>
              <w:t xml:space="preserve">0,625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Тривиальный бейзлайн</w:t>
            </w:r>
          </w:p>
        </w:tc>
        <w:tc>
          <w:tcPr/>
          <w:p>
            <w:pPr>
              <w:pStyle w:val="Compact"/>
            </w:pPr>
            <w:r>
              <w:t xml:space="preserve">0,244</w:t>
            </w:r>
          </w:p>
        </w:tc>
      </w:tr>
    </w:tbl>
    <w:p>
      <w:pPr>
        <w:pStyle w:val="BodyText"/>
      </w:pPr>
      <w:r>
        <w:t xml:space="preserve">Прирост составляет 0,048 по macro-F1. Он получен за счёт признаков, отсутствующих в</w:t>
      </w:r>
      <w:r>
        <w:t xml:space="preserve"> </w:t>
      </w:r>
      <w:r>
        <w:t xml:space="preserve">правиле: возраста пациентки, индекса массы тела, ФСГ и номера попытки. Величина</w:t>
      </w:r>
      <w:r>
        <w:t xml:space="preserve"> </w:t>
      </w:r>
      <w:r>
        <w:t xml:space="preserve">прироста скромна, и это следует констатировать прямо:</w:t>
      </w:r>
      <w:r>
        <w:t xml:space="preserve"> </w:t>
      </w:r>
      <w:r>
        <w:rPr>
          <w:b/>
          <w:bCs/>
        </w:rPr>
        <w:t xml:space="preserve">правило по АМГ уже</w:t>
      </w:r>
      <w:r>
        <w:rPr>
          <w:b/>
          <w:bCs/>
        </w:rPr>
        <w:t xml:space="preserve"> </w:t>
      </w:r>
      <w:r>
        <w:rPr>
          <w:b/>
          <w:bCs/>
        </w:rPr>
        <w:t xml:space="preserve">захватывает основную часть доступного сигнала</w:t>
      </w:r>
      <w:r>
        <w:t xml:space="preserve">, а вклад дополнительных признаков</w:t>
      </w:r>
      <w:r>
        <w:t xml:space="preserve"> </w:t>
      </w:r>
      <w:r>
        <w:t xml:space="preserve">носит уточняющий характер.</w:t>
      </w:r>
    </w:p>
    <w:p>
      <w:pPr>
        <w:pStyle w:val="BodyText"/>
      </w:pPr>
      <w:r>
        <w:t xml:space="preserve">Одновременно результат подтверждает обоснованность самого правила. Анализ по децилям</w:t>
      </w:r>
      <w:r>
        <w:t xml:space="preserve"> </w:t>
      </w:r>
      <w:r>
        <w:t xml:space="preserve">АМГ (</w:t>
      </w:r>
      <w:r>
        <w:rPr>
          <w:b/>
          <w:bCs/>
        </w:rPr>
        <w:t xml:space="preserve">Рисунок 2</w:t>
      </w:r>
      <w:r>
        <w:t xml:space="preserve">) показывает монотонный рост медианы числа полученных ооцитов от 5–6</w:t>
      </w:r>
      <w:r>
        <w:t xml:space="preserve"> </w:t>
      </w:r>
      <w:r>
        <w:t xml:space="preserve">в нижних децилях до 22 в верхнем; доля бедного ответа снижается с 0,41 до 0,00, доля</w:t>
      </w:r>
      <w:r>
        <w:t xml:space="preserve"> </w:t>
      </w:r>
      <w:r>
        <w:t xml:space="preserve">гиперответа возрастает с 0,02 до 0,56. Проверка клинических порогов методом</w:t>
      </w:r>
      <w:r>
        <w:t xml:space="preserve"> </w:t>
      </w:r>
      <w:r>
        <w:t xml:space="preserve">Манна–Уитни даёт для порога 2,0 нг/мл p = 4,3 × 10⁻¹²⁵ (медиана 7 против 17 ооцитов),</w:t>
      </w:r>
      <w:r>
        <w:t xml:space="preserve"> </w:t>
      </w:r>
      <w:r>
        <w:t xml:space="preserve">для порога 0,6 нг/мл — p = 4,1 × 10⁻⁷⁴.</w:t>
      </w:r>
    </w:p>
    <w:bookmarkEnd w:id="18"/>
    <w:bookmarkStart w:id="19" w:name="X1080c18c949f7be9ec4d7cd3085423f0bdb5fea"/>
    <w:p>
      <w:pPr>
        <w:pStyle w:val="Heading3"/>
      </w:pPr>
      <w:r>
        <w:t xml:space="preserve">3.4. Число попыток до наступления беременности</w:t>
      </w:r>
    </w:p>
    <w:p>
      <w:pPr>
        <w:pStyle w:val="FirstParagraph"/>
      </w:pPr>
      <w:r>
        <w:t xml:space="preserve">Классификация не подходит для этого вопроса: часть пациенток прекращает лечение, не</w:t>
      </w:r>
      <w:r>
        <w:t xml:space="preserve"> </w:t>
      </w:r>
      <w:r>
        <w:t xml:space="preserve">достигнув беременности, то есть наблюдения цензурированы справа. Применён анализ</w:t>
      </w:r>
      <w:r>
        <w:t xml:space="preserve"> </w:t>
      </w:r>
      <w:r>
        <w:t xml:space="preserve">выживаемости на 3785 циклах (849 событий, 2936 цензурированных).</w:t>
      </w:r>
    </w:p>
    <w:p>
      <w:pPr>
        <w:pStyle w:val="BodyText"/>
      </w:pPr>
      <w:r>
        <w:t xml:space="preserve">Кумулятивная вероятность наступления беременности составила 0,129 после первой попытки,</w:t>
      </w:r>
      <w:r>
        <w:t xml:space="preserve"> </w:t>
      </w:r>
      <w:r>
        <w:t xml:space="preserve">0,219 после второй, 0,289 после третьей и 0,315 после четвёртой. Стратификация по</w:t>
      </w:r>
      <w:r>
        <w:t xml:space="preserve"> </w:t>
      </w:r>
      <w:r>
        <w:t xml:space="preserve">овариальному резерву (</w:t>
      </w:r>
      <w:r>
        <w:rPr>
          <w:b/>
          <w:bCs/>
        </w:rPr>
        <w:t xml:space="preserve">Рисунок 6</w:t>
      </w:r>
      <w:r>
        <w:t xml:space="preserve">) даёт выраженное расхождение кривых: лог-ранговый</w:t>
      </w:r>
      <w:r>
        <w:t xml:space="preserve"> </w:t>
      </w:r>
      <w:r>
        <w:t xml:space="preserve">критерий между группами «АМГ ≤ 0,6» и «АМГ &gt; 2,0» — p = 2,9 × 10⁻⁶⁵.</w:t>
      </w:r>
    </w:p>
    <w:p>
      <w:pPr>
        <w:pStyle w:val="BodyText"/>
      </w:pPr>
      <w:r>
        <w:t xml:space="preserve">Регрессия Кокса на предлечебных признаках: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Отношение рисков</w:t>
            </w:r>
          </w:p>
        </w:tc>
        <w:tc>
          <w:tcPr/>
          <w:p>
            <w:pPr>
              <w:pStyle w:val="Compact"/>
            </w:pPr>
            <w:r>
              <w:t xml:space="preserve">95 % ДИ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АМГ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1,066</w:t>
            </w:r>
          </w:p>
        </w:tc>
        <w:tc>
          <w:tcPr/>
          <w:p>
            <w:pPr>
              <w:pStyle w:val="Compact"/>
            </w:pPr>
            <w:r>
              <w:t xml:space="preserve">1,041–1,092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0,944</w:t>
            </w:r>
          </w:p>
        </w:tc>
        <w:tc>
          <w:tcPr/>
          <w:p>
            <w:pPr>
              <w:pStyle w:val="Compact"/>
            </w:pPr>
            <w:r>
              <w:t xml:space="preserve">0,932–0,957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0,986</w:t>
            </w:r>
          </w:p>
        </w:tc>
        <w:tc>
          <w:tcPr/>
          <w:p>
            <w:pPr>
              <w:pStyle w:val="Compact"/>
            </w:pPr>
            <w:r>
              <w:t xml:space="preserve">0,978–0,993</w:t>
            </w:r>
          </w:p>
        </w:tc>
        <w:tc>
          <w:tcPr/>
          <w:p>
            <w:pPr>
              <w:pStyle w:val="Compact"/>
            </w:pPr>
            <w:r>
              <w:t xml:space="preserve">0,0001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бесплодия</w:t>
            </w:r>
          </w:p>
        </w:tc>
        <w:tc>
          <w:tcPr/>
          <w:p>
            <w:pPr>
              <w:pStyle w:val="Compact"/>
            </w:pPr>
            <w:r>
              <w:t xml:space="preserve">1,016</w:t>
            </w:r>
          </w:p>
        </w:tc>
        <w:tc>
          <w:tcPr/>
          <w:p>
            <w:pPr>
              <w:pStyle w:val="Compact"/>
            </w:pPr>
            <w:r>
              <w:t xml:space="preserve">1,000–1,033</w:t>
            </w:r>
          </w:p>
        </w:tc>
        <w:tc>
          <w:tcPr/>
          <w:p>
            <w:pPr>
              <w:pStyle w:val="Compact"/>
            </w:pPr>
            <w:r>
              <w:t xml:space="preserve">0,052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массы тела</w:t>
            </w:r>
          </w:p>
        </w:tc>
        <w:tc>
          <w:tcPr/>
          <w:p>
            <w:pPr>
              <w:pStyle w:val="Compact"/>
            </w:pPr>
            <w:r>
              <w:t xml:space="preserve">1,008</w:t>
            </w:r>
          </w:p>
        </w:tc>
        <w:tc>
          <w:tcPr/>
          <w:p>
            <w:pPr>
              <w:pStyle w:val="Compact"/>
            </w:pPr>
            <w:r>
              <w:t xml:space="preserve">0,992–1,024</w:t>
            </w:r>
          </w:p>
        </w:tc>
        <w:tc>
          <w:tcPr/>
          <w:p>
            <w:pPr>
              <w:pStyle w:val="Compact"/>
            </w:pPr>
            <w:r>
              <w:t xml:space="preserve">0,333</w:t>
            </w:r>
          </w:p>
        </w:tc>
      </w:tr>
    </w:tbl>
    <w:p>
      <w:pPr>
        <w:pStyle w:val="BodyText"/>
      </w:pPr>
      <w:r>
        <w:t xml:space="preserve">Индекс конкордации 0,696. Каждая единица АМГ повышает мгновенную вероятность</w:t>
      </w:r>
      <w:r>
        <w:t xml:space="preserve"> </w:t>
      </w:r>
      <w:r>
        <w:t xml:space="preserve">наступления беременности на 6,6 %, каждый год возраста снижает её на 5,6 %. Индекс</w:t>
      </w:r>
      <w:r>
        <w:t xml:space="preserve"> </w:t>
      </w:r>
      <w:r>
        <w:t xml:space="preserve">массы тела значимого независимого вклада не показал.</w:t>
      </w:r>
    </w:p>
    <w:bookmarkEnd w:id="19"/>
    <w:bookmarkStart w:id="20" w:name="X21b59d920b8490d138dcc79e17dda85ff214733"/>
    <w:p>
      <w:pPr>
        <w:pStyle w:val="Heading3"/>
      </w:pPr>
      <w:r>
        <w:t xml:space="preserve">3.5. Влияние протокола при сопоставимых пациентках</w:t>
      </w:r>
    </w:p>
    <w:p>
      <w:pPr>
        <w:pStyle w:val="FirstParagraph"/>
      </w:pPr>
      <w:r>
        <w:t xml:space="preserve">Прямое сравнение двух наиболее частых протоколов даёт разницу</w:t>
      </w:r>
      <w:r>
        <w:t xml:space="preserve"> </w:t>
      </w:r>
      <w:r>
        <w:rPr>
          <w:b/>
          <w:bCs/>
        </w:rPr>
        <w:t xml:space="preserve">+3,97 ооцита</w:t>
      </w:r>
      <w:r>
        <w:t xml:space="preserve"> </w:t>
      </w:r>
      <w:r>
        <w:t xml:space="preserve">в пользу</w:t>
      </w:r>
      <w:r>
        <w:t xml:space="preserve"> </w:t>
      </w:r>
      <w:r>
        <w:t xml:space="preserve">антагонистического. Однако протокол назначается не случайно, а по состоянию пациентки:</w:t>
      </w:r>
      <w:r>
        <w:t xml:space="preserve"> </w:t>
      </w:r>
      <w:r>
        <w:t xml:space="preserve">это классическое смешение по показанию (confounding by indication).</w:t>
      </w:r>
    </w:p>
    <w:p>
      <w:pPr>
        <w:pStyle w:val="BodyText"/>
      </w:pPr>
      <w:r>
        <w:t xml:space="preserve">Сопоставление по склонности (логистическая модель на всех предлечебных признаках,</w:t>
      </w:r>
      <w:r>
        <w:t xml:space="preserve"> </w:t>
      </w:r>
      <w:r>
        <w:t xml:space="preserve">подбор ближайшего соседа с ограничением 0,2 стандартного отклонения) дало 212 пар</w:t>
      </w:r>
      <w:r>
        <w:t xml:space="preserve"> </w:t>
      </w:r>
      <w:r>
        <w:t xml:space="preserve">сопоставимых пациенток. После уравнивания эффект составил</w:t>
      </w:r>
      <w:r>
        <w:t xml:space="preserve"> </w:t>
      </w:r>
      <w:r>
        <w:rPr>
          <w:b/>
          <w:bCs/>
        </w:rPr>
        <w:t xml:space="preserve">−0,20 ооцита</w:t>
      </w:r>
      <w:r>
        <w:t xml:space="preserve"> </w:t>
      </w:r>
      <w:r>
        <w:t xml:space="preserve">(p = 0,120), то есть статистически не отличается от нуля (</w:t>
      </w:r>
      <w:r>
        <w:rPr>
          <w:b/>
          <w:bCs/>
        </w:rPr>
        <w:t xml:space="preserve">Рисунок 7</w:t>
      </w:r>
      <w:r>
        <w:t xml:space="preserve">).</w:t>
      </w:r>
    </w:p>
    <w:p>
      <w:pPr>
        <w:pStyle w:val="BodyText"/>
      </w:pPr>
      <w:r>
        <w:t xml:space="preserve">Смещение, устранённое сопоставлением, составило 4,16 ооцита — более чем в двадцать раз</w:t>
      </w:r>
      <w:r>
        <w:t xml:space="preserve"> </w:t>
      </w:r>
      <w:r>
        <w:t xml:space="preserve">больше остаточного эффекта. Вывод: наблюдаемое различие между протоколами объясняется</w:t>
      </w:r>
      <w:r>
        <w:t xml:space="preserve"> </w:t>
      </w:r>
      <w:r>
        <w:t xml:space="preserve">не самим протоколом, а тем, каким пациенткам он назначается. Это предостережение против</w:t>
      </w:r>
      <w:r>
        <w:t xml:space="preserve"> </w:t>
      </w:r>
      <w:r>
        <w:t xml:space="preserve">интерпретации подобных сравнений как доказательства превосходства протокола.</w:t>
      </w:r>
    </w:p>
    <w:bookmarkEnd w:id="20"/>
    <w:bookmarkStart w:id="21" w:name="X41efd8f3f96a8038724340db856e0a88d78c097"/>
    <w:p>
      <w:pPr>
        <w:pStyle w:val="Heading3"/>
      </w:pPr>
      <w:r>
        <w:t xml:space="preserve">3.6. Существуют ли фенотипы сверх градаций АМГ</w:t>
      </w:r>
    </w:p>
    <w:p>
      <w:pPr>
        <w:pStyle w:val="FirstParagraph"/>
      </w:pPr>
      <w:r>
        <w:t xml:space="preserve">Кластеризация в пространстве всех предлечебных признаков (UMAP с последующим HDBSCAN)</w:t>
      </w:r>
      <w:r>
        <w:t xml:space="preserve"> </w:t>
      </w:r>
      <w:r>
        <w:t xml:space="preserve">выявила девять устойчивых групп и 247 неотнесённых наблюдений (</w:t>
      </w:r>
      <w:r>
        <w:rPr>
          <w:b/>
          <w:bCs/>
        </w:rPr>
        <w:t xml:space="preserve">Рисунок 10</w:t>
      </w:r>
      <w:r>
        <w:t xml:space="preserve">).</w:t>
      </w:r>
      <w:r>
        <w:t xml:space="preserve"> </w:t>
      </w:r>
      <w:r>
        <w:t xml:space="preserve">Медиана числа полученных ооцитов различается между кластерами от 5 до 13, различие</w:t>
      </w:r>
      <w:r>
        <w:t xml:space="preserve"> </w:t>
      </w:r>
      <w:r>
        <w:t xml:space="preserve">значимо (критерий Краскела — Уоллиса, p = 1,8 × 10⁻²³).</w:t>
      </w:r>
    </w:p>
    <w:p>
      <w:pPr>
        <w:pStyle w:val="BodyText"/>
      </w:pPr>
      <w:r>
        <w:t xml:space="preserve">Однако разделение по градациям АМГ даёт существенно более сильное различие того же</w:t>
      </w:r>
      <w:r>
        <w:t xml:space="preserve"> </w:t>
      </w:r>
      <w:r>
        <w:t xml:space="preserve">исхода: p = 1,1 × 10⁻¹⁸¹. Следовательно, обнаруженные кластеры не выделяют клинически</w:t>
      </w:r>
      <w:r>
        <w:t xml:space="preserve"> </w:t>
      </w:r>
      <w:r>
        <w:t xml:space="preserve">значимых фенотипов, не сводимых к овариальному резерву. Результат отрицательный, но</w:t>
      </w:r>
      <w:r>
        <w:t xml:space="preserve"> </w:t>
      </w:r>
      <w:r>
        <w:t xml:space="preserve">информативный: он показывает, что усложнение стратификации на имеющемся наборе</w:t>
      </w:r>
      <w:r>
        <w:t xml:space="preserve"> </w:t>
      </w:r>
      <w:r>
        <w:t xml:space="preserve">признаков не оправдано.</w:t>
      </w:r>
    </w:p>
    <w:bookmarkEnd w:id="21"/>
    <w:bookmarkStart w:id="22" w:name="объяснение-отдельных-предсказаний"/>
    <w:p>
      <w:pPr>
        <w:pStyle w:val="Heading3"/>
      </w:pPr>
      <w:r>
        <w:t xml:space="preserve">3.7. Объяснение отдельных предсказаний</w:t>
      </w:r>
    </w:p>
    <w:p>
      <w:pPr>
        <w:pStyle w:val="FirstParagraph"/>
      </w:pPr>
      <w:r>
        <w:t xml:space="preserve">Разложение прогнозов методом SHAP (значения Шепли) подтверждает согласованность модели</w:t>
      </w:r>
      <w:r>
        <w:t xml:space="preserve"> </w:t>
      </w:r>
      <w:r>
        <w:t xml:space="preserve">с клиническими представлениями (</w:t>
      </w:r>
      <w:r>
        <w:rPr>
          <w:b/>
          <w:bCs/>
        </w:rPr>
        <w:t xml:space="preserve">Рисунок 8</w:t>
      </w:r>
      <w:r>
        <w:t xml:space="preserve">). Наибольший средний по модулю вклад</w:t>
      </w:r>
      <w:r>
        <w:t xml:space="preserve"> </w:t>
      </w:r>
      <w:r>
        <w:t xml:space="preserve">принадлежит АМГ (0,178), далее следуют возраст пациентки (0,039), ФСГ (0,032), тип</w:t>
      </w:r>
      <w:r>
        <w:t xml:space="preserve"> </w:t>
      </w:r>
      <w:r>
        <w:t xml:space="preserve">финансирования цикла (0,030) и возраст супруга (0,026).</w:t>
      </w:r>
    </w:p>
    <w:p>
      <w:pPr>
        <w:pStyle w:val="BodyText"/>
      </w:pPr>
      <w:r>
        <w:t xml:space="preserve">Вклад АМГ превышает следующий по значимости признак более чем в четыре раза, что</w:t>
      </w:r>
      <w:r>
        <w:t xml:space="preserve"> </w:t>
      </w:r>
      <w:r>
        <w:t xml:space="preserve">количественно подтверждает: овариальный резерв остаётся основным предиктором, а</w:t>
      </w:r>
      <w:r>
        <w:t xml:space="preserve"> </w:t>
      </w:r>
      <w:r>
        <w:t xml:space="preserve">остальные признаки выполняют уточняющую роль.</w:t>
      </w:r>
    </w:p>
    <w:bookmarkEnd w:id="22"/>
    <w:bookmarkStart w:id="23" w:name="калибровка-прогноза"/>
    <w:p>
      <w:pPr>
        <w:pStyle w:val="Heading3"/>
      </w:pPr>
      <w:r>
        <w:t xml:space="preserve">3.8. Калибровка прогноза</w:t>
      </w:r>
    </w:p>
    <w:p>
      <w:pPr>
        <w:pStyle w:val="FirstParagraph"/>
      </w:pPr>
      <w:r>
        <w:t xml:space="preserve">Площадь под ROC-кривой характеризует только упорядочивание наблюдений и ничего не</w:t>
      </w:r>
      <w:r>
        <w:t xml:space="preserve"> </w:t>
      </w:r>
      <w:r>
        <w:t xml:space="preserve">говорит о том, соответствует ли заявленная вероятность фактической частоте. Для</w:t>
      </w:r>
      <w:r>
        <w:t xml:space="preserve"> </w:t>
      </w:r>
      <w:r>
        <w:t xml:space="preserve">клинического применения важно именно последнее: если модель сообщает о риске 30 %,</w:t>
      </w:r>
      <w:r>
        <w:t xml:space="preserve"> </w:t>
      </w:r>
      <w:r>
        <w:t xml:space="preserve">гиперответ должен наблюдаться примерно в 30 % таких случаев.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Оценка Брайера</w:t>
            </w:r>
          </w:p>
        </w:tc>
        <w:tc>
          <w:tcPr/>
          <w:p>
            <w:pPr>
              <w:pStyle w:val="Compact"/>
            </w:pPr>
            <w:r>
              <w:t xml:space="preserve">Ожидаемая ошибка калибровки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калибровки</w:t>
            </w:r>
          </w:p>
        </w:tc>
        <w:tc>
          <w:tcPr/>
          <w:p>
            <w:pPr>
              <w:pStyle w:val="Compact"/>
            </w:pPr>
            <w:r>
              <w:t xml:space="preserve">0,0963</w:t>
            </w:r>
          </w:p>
        </w:tc>
        <w:tc>
          <w:tcPr/>
          <w:p>
            <w:pPr>
              <w:pStyle w:val="Compact"/>
            </w:pPr>
            <w:r>
              <w:t xml:space="preserve">0,0800</w:t>
            </w:r>
          </w:p>
        </w:tc>
        <w:tc>
          <w:tcPr/>
          <w:p>
            <w:pPr>
              <w:pStyle w:val="Compact"/>
            </w:pPr>
            <w:r>
              <w:t xml:space="preserve">0,8871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Платт (сигмоида)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0,0899</w:t>
            </w:r>
          </w:p>
        </w:tc>
        <w:tc>
          <w:tcPr/>
          <w:p>
            <w:pPr>
              <w:pStyle w:val="Compact"/>
            </w:pPr>
            <w:r>
              <w:t xml:space="preserve">0,0414</w:t>
            </w:r>
          </w:p>
        </w:tc>
        <w:tc>
          <w:tcPr/>
          <w:p>
            <w:pPr>
              <w:pStyle w:val="Compact"/>
            </w:pPr>
            <w:r>
              <w:t xml:space="preserve">0,8868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Изотоническая</w:t>
            </w:r>
          </w:p>
        </w:tc>
        <w:tc>
          <w:tcPr/>
          <w:p>
            <w:pPr>
              <w:pStyle w:val="Compact"/>
            </w:pPr>
            <w:r>
              <w:t xml:space="preserve">0,0903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0,0230</w:t>
            </w:r>
          </w:p>
        </w:tc>
        <w:tc>
          <w:tcPr/>
          <w:p>
            <w:pPr>
              <w:pStyle w:val="Compact"/>
            </w:pPr>
            <w:r>
              <w:t xml:space="preserve">0,8820</w:t>
            </w:r>
          </w:p>
        </w:tc>
      </w:tr>
    </w:tbl>
    <w:p>
      <w:pPr>
        <w:pStyle w:val="BodyText"/>
      </w:pPr>
      <w:r>
        <w:t xml:space="preserve">Некалиброванная модель систематически завышает риск: ожидаемая ошибка калибровки</w:t>
      </w:r>
      <w:r>
        <w:t xml:space="preserve"> </w:t>
      </w:r>
      <w:r>
        <w:t xml:space="preserve">составляет 8,0 процентных пункта. Калибровка методом Платта снижает её до 4,1 пункта</w:t>
      </w:r>
      <w:r>
        <w:t xml:space="preserve"> </w:t>
      </w:r>
      <w:r>
        <w:t xml:space="preserve">практически без потери разделяющей способности; изотоническая регрессия даёт</w:t>
      </w:r>
      <w:r>
        <w:t xml:space="preserve"> </w:t>
      </w:r>
      <w:r>
        <w:t xml:space="preserve">наименьшую ошибку (2,3 пункта) ценой небольшого снижения AUROC (</w:t>
      </w:r>
      <w:r>
        <w:rPr>
          <w:b/>
          <w:bCs/>
        </w:rPr>
        <w:t xml:space="preserve">Рисунок 9</w:t>
      </w:r>
      <w:r>
        <w:t xml:space="preserve">).</w:t>
      </w:r>
    </w:p>
    <w:p>
      <w:pPr>
        <w:pStyle w:val="BodyText"/>
      </w:pPr>
      <w:r>
        <w:t xml:space="preserve">Для клинического применения рекомендуется калиброванная версия модели: врач принимает</w:t>
      </w:r>
      <w:r>
        <w:t xml:space="preserve"> </w:t>
      </w:r>
      <w:r>
        <w:t xml:space="preserve">решение о дозе, опираясь на численное значение риска, а не на его ранг.</w:t>
      </w:r>
    </w:p>
    <w:bookmarkEnd w:id="23"/>
    <w:bookmarkStart w:id="24" w:name="ансамблирование"/>
    <w:p>
      <w:pPr>
        <w:pStyle w:val="Heading3"/>
      </w:pPr>
      <w:r>
        <w:t xml:space="preserve">3.9. Ансамблирование</w:t>
      </w:r>
    </w:p>
    <w:p>
      <w:pPr>
        <w:pStyle w:val="FirstParagraph"/>
      </w:pPr>
      <w:r>
        <w:t xml:space="preserve">Стекинг трёх разнородных моделей (случайный лес, экстра-деревья, градиентный бустинг)</w:t>
      </w:r>
      <w:r>
        <w:t xml:space="preserve"> </w:t>
      </w:r>
      <w:r>
        <w:t xml:space="preserve">с логистической мета-моделью на внекратных предсказаниях дал AUROC 0,8892 против 0,8876</w:t>
      </w:r>
      <w:r>
        <w:t xml:space="preserve"> </w:t>
      </w:r>
      <w:r>
        <w:t xml:space="preserve">у лучшей одиночной модели — прирост</w:t>
      </w:r>
      <w:r>
        <w:t xml:space="preserve"> </w:t>
      </w:r>
      <w:r>
        <w:rPr>
          <w:b/>
          <w:bCs/>
        </w:rPr>
        <w:t xml:space="preserve">+0,0016</w:t>
      </w:r>
      <w:r>
        <w:t xml:space="preserve">, то есть в пределах разброса между</w:t>
      </w:r>
      <w:r>
        <w:t xml:space="preserve"> </w:t>
      </w:r>
      <w:r>
        <w:t xml:space="preserve">фолдами. Усложнение архитектуры на данном объёме данных не оправдано.</w:t>
      </w:r>
    </w:p>
    <w:bookmarkEnd w:id="24"/>
    <w:bookmarkStart w:id="25" w:name="три-источника-завышенных-оценок"/>
    <w:p>
      <w:pPr>
        <w:pStyle w:val="Heading3"/>
      </w:pPr>
      <w:r>
        <w:t xml:space="preserve">3.10. Три источника завышенных оценок</w:t>
      </w:r>
    </w:p>
    <w:p>
      <w:pPr>
        <w:pStyle w:val="FirstParagraph"/>
      </w:pPr>
      <w:r>
        <w:t xml:space="preserve">Все три ошибки на этапе получения выглядели как успех модели и были выявлены только</w:t>
      </w:r>
      <w:r>
        <w:t xml:space="preserve"> </w:t>
      </w:r>
      <w:r>
        <w:t xml:space="preserve">целенаправленной проверкой.</w:t>
      </w:r>
    </w:p>
    <w:p>
      <w:pPr>
        <w:pStyle w:val="BodyText"/>
      </w:pPr>
      <w:r>
        <w:rPr>
          <w:b/>
          <w:bCs/>
        </w:rPr>
        <w:t xml:space="preserve">Ошибка первая: оценка на малой тестовой выборке.</w:t>
      </w:r>
      <w:r>
        <w:t xml:space="preserve"> </w:t>
      </w:r>
      <w:r>
        <w:t xml:space="preserve">Разделение по годам (2023–2024</w:t>
      </w:r>
      <w:r>
        <w:t xml:space="preserve"> </w:t>
      </w:r>
      <w:r>
        <w:t xml:space="preserve">обучение, 2025 тест) дало macro-F1 = 0,98 при accuracy 0,977. После всех фильтров</w:t>
      </w:r>
      <w:r>
        <w:t xml:space="preserve"> </w:t>
      </w:r>
      <w:r>
        <w:t xml:space="preserve">тестовая выборка 2025 г. содержала 87 наблюдений. Пятикратная перекрёстная проверка на</w:t>
      </w:r>
      <w:r>
        <w:t xml:space="preserve"> </w:t>
      </w:r>
      <w:r>
        <w:t xml:space="preserve">полном объёме (1647 наблюдений) дала 0,664 ± 0,023. Расхождение — 0,32 по macro-F1.</w:t>
      </w:r>
    </w:p>
    <w:p>
      <w:pPr>
        <w:pStyle w:val="BodyText"/>
      </w:pPr>
      <w:r>
        <w:rPr>
          <w:b/>
          <w:bCs/>
        </w:rPr>
        <w:t xml:space="preserve">Ошибка вторая: признак, кодирующий исход.</w:t>
      </w:r>
      <w:r>
        <w:t xml:space="preserve"> </w:t>
      </w:r>
      <w:r>
        <w:t xml:space="preserve">В задаче о проведении пункции признак</w:t>
      </w:r>
      <w:r>
        <w:t xml:space="preserve"> </w:t>
      </w:r>
      <w:r>
        <w:t xml:space="preserve">«категория программы» принимает значения «крио ПЭ», «ТВП», «снято ТВП». Значение</w:t>
      </w:r>
      <w:r>
        <w:t xml:space="preserve"> </w:t>
      </w:r>
      <w:r>
        <w:t xml:space="preserve">«крио ПЭ» само по себе означает, что пункции не было. С этим признаком AUROC составлял</w:t>
      </w:r>
      <w:r>
        <w:t xml:space="preserve"> </w:t>
      </w:r>
      <w:r>
        <w:t xml:space="preserve">0,995.</w:t>
      </w:r>
    </w:p>
    <w:p>
      <w:pPr>
        <w:pStyle w:val="BodyText"/>
      </w:pPr>
      <w:r>
        <w:rPr>
          <w:b/>
          <w:bCs/>
        </w:rPr>
        <w:t xml:space="preserve">Ошибка третья: признак, доступный только после исхода.</w:t>
      </w:r>
      <w:r>
        <w:t xml:space="preserve"> </w:t>
      </w:r>
      <w:r>
        <w:t xml:space="preserve">После исключения категории</w:t>
      </w:r>
      <w:r>
        <w:t xml:space="preserve"> </w:t>
      </w:r>
      <w:r>
        <w:t xml:space="preserve">программы AUROC оставался равным 0,987. Источником оказалось качество спермы:</w:t>
      </w:r>
      <w:r>
        <w:t xml:space="preserve"> </w:t>
      </w:r>
      <w:r>
        <w:t xml:space="preserve">спермограмма сдаётся в день пункции, поэтому сам факт её наличия равносилен ответу.</w:t>
      </w:r>
      <w:r>
        <w:t xml:space="preserve"> </w:t>
      </w:r>
      <w:r>
        <w:t xml:space="preserve">Проверка: при любом заполненном значении признака («10 млн», «15 млн» и далее) пункция</w:t>
      </w:r>
      <w:r>
        <w:t xml:space="preserve"> </w:t>
      </w:r>
      <w:r>
        <w:t xml:space="preserve">состоялась в 96–100 % записей; перестановочная важность признака составила 0,368</w:t>
      </w:r>
      <w:r>
        <w:t xml:space="preserve"> </w:t>
      </w:r>
      <w:r>
        <w:t xml:space="preserve">против ~0,000 у всех остальных. После исключения AUROC снизился до</w:t>
      </w:r>
      <w:r>
        <w:t xml:space="preserve"> </w:t>
      </w:r>
      <w:r>
        <w:rPr>
          <w:b/>
          <w:bCs/>
        </w:rPr>
        <w:t xml:space="preserve">0,743</w:t>
      </w:r>
      <w:r>
        <w:t xml:space="preserve"> </w:t>
      </w:r>
      <w:r>
        <w:t xml:space="preserve">—</w:t>
      </w:r>
      <w:r>
        <w:t xml:space="preserve"> </w:t>
      </w:r>
      <w:r>
        <w:t xml:space="preserve">правдоподобного значения.</w:t>
      </w:r>
    </w:p>
    <w:p>
      <w:pPr>
        <w:pStyle w:val="BodyText"/>
      </w:pPr>
      <w:r>
        <w:rPr>
          <w:b/>
          <w:bCs/>
        </w:rPr>
        <w:t xml:space="preserve">Автоматическое обнаружение.</w:t>
      </w:r>
      <w:r>
        <w:t xml:space="preserve"> </w:t>
      </w:r>
      <w:r>
        <w:t xml:space="preserve">Для систематического поиска подобных признаков</w:t>
      </w:r>
      <w:r>
        <w:t xml:space="preserve"> </w:t>
      </w:r>
      <w:r>
        <w:t xml:space="preserve">применён одномерный скрининг: для каждого признака вычислялась AUROC как единственного</w:t>
      </w:r>
      <w:r>
        <w:t xml:space="preserve"> </w:t>
      </w:r>
      <w:r>
        <w:t xml:space="preserve">предиктора гиперответа. Значение выше 0,85 у одиночного признака расценивалось как</w:t>
      </w:r>
      <w:r>
        <w:t xml:space="preserve"> </w:t>
      </w:r>
      <w:r>
        <w:t xml:space="preserve">признак утечки. Скрининг выявил 13 признаков, все они относятся к эмбриологическим</w:t>
      </w:r>
      <w:r>
        <w:t xml:space="preserve"> </w:t>
      </w:r>
      <w:r>
        <w:t xml:space="preserve">показателям, регистрируемым после пункции: число зрелых ооцитов (AUROC 0,979),</w:t>
      </w:r>
      <w:r>
        <w:t xml:space="preserve"> </w:t>
      </w:r>
      <w:r>
        <w:t xml:space="preserve">дробление (0,962), число полученных ооцитов по отдельным программам (0,943–0,956).</w:t>
      </w:r>
      <w:r>
        <w:t xml:space="preserve"> </w:t>
      </w:r>
      <w:r>
        <w:t xml:space="preserve">Ни один предлечебный признак порога не превысил; наибольшее значение среди них у АМГ —</w:t>
      </w:r>
      <w:r>
        <w:t xml:space="preserve"> </w:t>
      </w:r>
      <w:r>
        <w:t xml:space="preserve">0,823 (</w:t>
      </w:r>
      <w:r>
        <w:rPr>
          <w:b/>
          <w:bCs/>
        </w:rPr>
        <w:t xml:space="preserve">Рисунок 4</w:t>
      </w:r>
      <w:r>
        <w:t xml:space="preserve">).</w:t>
      </w:r>
    </w:p>
    <w:bookmarkEnd w:id="25"/>
    <w:bookmarkStart w:id="26" w:name="Xd1e3f110340d69c25654283c9a2785f103f88b6"/>
    <w:p>
      <w:pPr>
        <w:pStyle w:val="Heading3"/>
      </w:pPr>
      <w:r>
        <w:t xml:space="preserve">3.5. Экспертная разметка, собранная с подсказкой</w:t>
      </w:r>
    </w:p>
    <w:p>
      <w:pPr>
        <w:pStyle w:val="FirstParagraph"/>
      </w:pPr>
      <w:r>
        <w:t xml:space="preserve">Параллельно с настоящей работой врач-эксперт разметил 3056 циклов, присваивая каждому</w:t>
      </w:r>
      <w:r>
        <w:t xml:space="preserve"> </w:t>
      </w:r>
      <w:r>
        <w:t xml:space="preserve">категорию овариального резерва. Интерфейс разметки показывал категорию, вычисленную по</w:t>
      </w:r>
      <w:r>
        <w:t xml:space="preserve"> </w:t>
      </w:r>
      <w:r>
        <w:t xml:space="preserve">АМГ, которую эксперт мог принять одним нажатием клавиши.</w:t>
      </w:r>
    </w:p>
    <w:p>
      <w:pPr>
        <w:pStyle w:val="BodyText"/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метка совпала с подсказкой в 3056 случаях из 3056</w:t>
      </w:r>
      <w:r>
        <w:t xml:space="preserve">. Расхождений нет ни</w:t>
      </w:r>
      <w:r>
        <w:t xml:space="preserve"> </w:t>
      </w:r>
      <w:r>
        <w:t xml:space="preserve">одного. Медиана времени принятия решения составила 0,93 с (квартили 0,84–1,16 с);</w:t>
      </w:r>
      <w:r>
        <w:t xml:space="preserve"> </w:t>
      </w:r>
      <w:r>
        <w:t xml:space="preserve">62 % решений приняты быстрее одной секунды (</w:t>
      </w:r>
      <w:r>
        <w:rPr>
          <w:b/>
          <w:bCs/>
        </w:rPr>
        <w:t xml:space="preserve">Рисунок 5</w:t>
      </w:r>
      <w:r>
        <w:t xml:space="preserve">).</w:t>
      </w:r>
    </w:p>
    <w:p>
      <w:pPr>
        <w:pStyle w:val="BodyText"/>
      </w:pPr>
      <w:r>
        <w:t xml:space="preserve">Отсюда следует, что полученные метки представляют собой перекодировку значения АМГ, а</w:t>
      </w:r>
      <w:r>
        <w:t xml:space="preserve"> </w:t>
      </w:r>
      <w:r>
        <w:t xml:space="preserve">не независимое клиническое суждение. Их использование в качестве целевой переменной</w:t>
      </w:r>
      <w:r>
        <w:t xml:space="preserve"> </w:t>
      </w:r>
      <w:r>
        <w:t xml:space="preserve">означало бы обучение модели воспроизводить известную формулу — то есть утечку целевой</w:t>
      </w:r>
      <w:r>
        <w:t xml:space="preserve"> </w:t>
      </w:r>
      <w:r>
        <w:t xml:space="preserve">информации в чистом виде. По этой причине в настоящей работе целевыми переменными</w:t>
      </w:r>
      <w:r>
        <w:t xml:space="preserve"> </w:t>
      </w:r>
      <w:r>
        <w:t xml:space="preserve">служат исключительно фактические исходы циклов.</w:t>
      </w:r>
    </w:p>
    <w:p>
      <w:pPr>
        <w:pStyle w:val="BodyText"/>
      </w:pPr>
      <w:r>
        <w:t xml:space="preserve">Наблюдение имеет самостоятельное методологическое значение: процедура сбора</w:t>
      </w:r>
      <w:r>
        <w:t xml:space="preserve"> </w:t>
      </w:r>
      <w:r>
        <w:t xml:space="preserve">экспертных меток при наличии алгоритмической подсказки и отсутствии контрольной</w:t>
      </w:r>
      <w:r>
        <w:t xml:space="preserve"> </w:t>
      </w:r>
      <w:r>
        <w:t xml:space="preserve">подвыборки измеряет согласие эксперта с алгоритмом, а не независимое клиническое</w:t>
      </w:r>
      <w:r>
        <w:t xml:space="preserve"> </w:t>
      </w:r>
      <w:r>
        <w:t xml:space="preserve">суждение, при этом внешне оставаясь безупречной — разметка полная, эксперт</w:t>
      </w:r>
      <w:r>
        <w:t xml:space="preserve"> </w:t>
      </w:r>
      <w:r>
        <w:t xml:space="preserve">квалифицирован, журнал действий ведётся.</w:t>
      </w:r>
    </w:p>
    <w:bookmarkEnd w:id="26"/>
    <w:bookmarkEnd w:id="27"/>
    <w:bookmarkStart w:id="31" w:name="обсуждение"/>
    <w:p>
      <w:pPr>
        <w:pStyle w:val="Heading2"/>
      </w:pPr>
      <w:r>
        <w:t xml:space="preserve">4. Обсуждение</w:t>
      </w:r>
    </w:p>
    <w:bookmarkStart w:id="28" w:name="что-показывает-исследование"/>
    <w:p>
      <w:pPr>
        <w:pStyle w:val="Heading3"/>
      </w:pPr>
      <w:r>
        <w:t xml:space="preserve">4.1. Что показывает исследование</w:t>
      </w:r>
    </w:p>
    <w:p>
      <w:pPr>
        <w:pStyle w:val="FirstParagraph"/>
      </w:pPr>
      <w:r>
        <w:t xml:space="preserve">Предлечебные данные позволяют надёжно выделять пациенток с риском крайних вариантов</w:t>
      </w:r>
      <w:r>
        <w:t xml:space="preserve"> </w:t>
      </w:r>
      <w:r>
        <w:t xml:space="preserve">овариального ответа (AUROC около 0,89). Это тот сценарий, в котором прогноз наиболее</w:t>
      </w:r>
      <w:r>
        <w:t xml:space="preserve"> </w:t>
      </w:r>
      <w:r>
        <w:t xml:space="preserve">полезен: именно для крайних вариантов ответа корректируются доза, протокол и тактика</w:t>
      </w:r>
      <w:r>
        <w:t xml:space="preserve"> </w:t>
      </w:r>
      <w:r>
        <w:t xml:space="preserve">триггера.</w:t>
      </w:r>
    </w:p>
    <w:p>
      <w:pPr>
        <w:pStyle w:val="BodyText"/>
      </w:pPr>
      <w:r>
        <w:t xml:space="preserve">Прогноз наступления беременности по тем же данным существенно слабее (AUROC 0,684).</w:t>
      </w:r>
      <w:r>
        <w:t xml:space="preserve"> </w:t>
      </w:r>
      <w:r>
        <w:t xml:space="preserve">Результат согласуется с клиническими представлениями: наступление беременности зависит</w:t>
      </w:r>
      <w:r>
        <w:t xml:space="preserve"> </w:t>
      </w:r>
      <w:r>
        <w:t xml:space="preserve">от факторов, не отражённых в предлечебных показателях, — качества эмбриона,</w:t>
      </w:r>
      <w:r>
        <w:t xml:space="preserve"> </w:t>
      </w:r>
      <w:r>
        <w:t xml:space="preserve">рецептивности эндометрия, случайных событий имплантации.</w:t>
      </w:r>
    </w:p>
    <w:bookmarkEnd w:id="28"/>
    <w:bookmarkStart w:id="29" w:name="ограничения"/>
    <w:p>
      <w:pPr>
        <w:pStyle w:val="Heading3"/>
      </w:pPr>
      <w:r>
        <w:t xml:space="preserve">4.2. Ограничения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Одноцентровые данные.</w:t>
      </w:r>
      <w:r>
        <w:t xml:space="preserve"> </w:t>
      </w:r>
      <w:r>
        <w:t xml:space="preserve">Все записи получены в одной клинике; перенос результатов</w:t>
      </w:r>
      <w:r>
        <w:t xml:space="preserve"> </w:t>
      </w:r>
      <w:r>
        <w:t xml:space="preserve">на другие популяции требует внешней валидации.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Отсутствие КАФ.</w:t>
      </w:r>
      <w:r>
        <w:t xml:space="preserve"> </w:t>
      </w:r>
      <w:r>
        <w:t xml:space="preserve">Клинически значимый показатель овариального резерва заполнен</w:t>
      </w:r>
      <w:r>
        <w:t xml:space="preserve"> </w:t>
      </w:r>
      <w:r>
        <w:t xml:space="preserve">менее чем в 1 % записей. Его включение вероятно повысило бы качество прогноза.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Ограниченный объём после фильтрации.</w:t>
      </w:r>
      <w:r>
        <w:t xml:space="preserve"> </w:t>
      </w:r>
      <w:r>
        <w:t xml:space="preserve">1647 пункций — умеренный объём для</w:t>
      </w:r>
      <w:r>
        <w:t xml:space="preserve"> </w:t>
      </w:r>
      <w:r>
        <w:t xml:space="preserve">моделей с большим числом признаков; для задач 4 и 5 число положительных наблюдений</w:t>
      </w:r>
      <w:r>
        <w:t xml:space="preserve"> </w:t>
      </w:r>
      <w:r>
        <w:t xml:space="preserve">составляет 248 и 277 соответственно.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Отсутствие информации о протоколе и дозах в качестве предикторов.</w:t>
      </w:r>
      <w:r>
        <w:t xml:space="preserve"> </w:t>
      </w:r>
      <w:r>
        <w:t xml:space="preserve">Эти данные</w:t>
      </w:r>
      <w:r>
        <w:t xml:space="preserve"> </w:t>
      </w:r>
      <w:r>
        <w:t xml:space="preserve">регистрируются после принятия решения и потому исключены; однако их учёт в</w:t>
      </w:r>
      <w:r>
        <w:t xml:space="preserve"> </w:t>
      </w:r>
      <w:r>
        <w:t xml:space="preserve">последующих работах позволил бы перейти от прогноза к рекомендации.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Ретроспективный дизайн.</w:t>
      </w:r>
      <w:r>
        <w:t xml:space="preserve"> </w:t>
      </w:r>
      <w:r>
        <w:t xml:space="preserve">Проспективная проверка не проводилась.</w:t>
      </w:r>
    </w:p>
    <w:bookmarkEnd w:id="29"/>
    <w:bookmarkStart w:id="30" w:name="практические-следствия"/>
    <w:p>
      <w:pPr>
        <w:pStyle w:val="Heading3"/>
      </w:pPr>
      <w:r>
        <w:t xml:space="preserve">4.3. Практические следствия</w:t>
      </w:r>
    </w:p>
    <w:p>
      <w:pPr>
        <w:pStyle w:val="FirstParagraph"/>
      </w:pPr>
      <w:r>
        <w:t xml:space="preserve">Для исследователей, работающих с выгрузками клинических информационных систем,</w:t>
      </w:r>
      <w:r>
        <w:t xml:space="preserve"> </w:t>
      </w:r>
      <w:r>
        <w:t xml:space="preserve">приведённые ошибки воспроизводимы и должны проверяться до публикации:</w:t>
      </w:r>
    </w:p>
    <w:p>
      <w:pPr>
        <w:pStyle w:val="Compact"/>
        <w:numPr>
          <w:ilvl w:val="0"/>
          <w:numId w:val="1003"/>
        </w:numPr>
      </w:pPr>
      <w:r>
        <w:t xml:space="preserve">нулевые значения исхода следует трактовать осмысленно, а не как измеренный ноль;</w:t>
      </w:r>
    </w:p>
    <w:p>
      <w:pPr>
        <w:pStyle w:val="Compact"/>
        <w:numPr>
          <w:ilvl w:val="0"/>
          <w:numId w:val="1003"/>
        </w:numPr>
      </w:pPr>
      <w:r>
        <w:t xml:space="preserve">оценка на малой тестовой выборке требует подтверждения перекрёстной проверкой;</w:t>
      </w:r>
    </w:p>
    <w:p>
      <w:pPr>
        <w:pStyle w:val="Compact"/>
        <w:numPr>
          <w:ilvl w:val="0"/>
          <w:numId w:val="1003"/>
        </w:numPr>
      </w:pPr>
      <w:r>
        <w:t xml:space="preserve">признаки, чьё наличие связано с фактом наступления исхода, приводят к утечке даже</w:t>
      </w:r>
      <w:r>
        <w:t xml:space="preserve"> </w:t>
      </w:r>
      <w:r>
        <w:t xml:space="preserve">при формально корректном разделении данных;</w:t>
      </w:r>
    </w:p>
    <w:p>
      <w:pPr>
        <w:pStyle w:val="Compact"/>
        <w:numPr>
          <w:ilvl w:val="0"/>
          <w:numId w:val="1003"/>
        </w:numPr>
      </w:pPr>
      <w:r>
        <w:t xml:space="preserve">одномерный скрининг AUROC — простой и эффективный способ выявления таких признаков;</w:t>
      </w:r>
    </w:p>
    <w:p>
      <w:pPr>
        <w:pStyle w:val="Compact"/>
        <w:numPr>
          <w:ilvl w:val="0"/>
          <w:numId w:val="1003"/>
        </w:numPr>
      </w:pPr>
      <w:r>
        <w:t xml:space="preserve">при сборе экспертной разметки необходима контрольная подвыборка без алгоритмической</w:t>
      </w:r>
      <w:r>
        <w:t xml:space="preserve"> </w:t>
      </w:r>
      <w:r>
        <w:t xml:space="preserve">подсказки, иначе измеряется согласие с алгоритмом, а не экспертное суждение.</w:t>
      </w:r>
    </w:p>
    <w:bookmarkEnd w:id="30"/>
    <w:bookmarkEnd w:id="31"/>
    <w:bookmarkStart w:id="32" w:name="заключение"/>
    <w:p>
      <w:pPr>
        <w:pStyle w:val="Heading2"/>
      </w:pPr>
      <w:r>
        <w:t xml:space="preserve">5. Заключение</w:t>
      </w:r>
    </w:p>
    <w:p>
      <w:pPr>
        <w:pStyle w:val="FirstParagraph"/>
      </w:pPr>
      <w:r>
        <w:t xml:space="preserve">На материале 1647 состоявшихся пункций показано, что данные, доступные до начала</w:t>
      </w:r>
      <w:r>
        <w:t xml:space="preserve"> </w:t>
      </w:r>
      <w:r>
        <w:t xml:space="preserve">стимуляции, позволяют прогнозировать риск бедного ответа и риск гиперответа с AUROC</w:t>
      </w:r>
      <w:r>
        <w:t xml:space="preserve"> </w:t>
      </w:r>
      <w:r>
        <w:t xml:space="preserve">0,897 и 0,891 соответственно, а число полученных ооцитов — со средней абсолютной</w:t>
      </w:r>
      <w:r>
        <w:t xml:space="preserve"> </w:t>
      </w:r>
      <w:r>
        <w:t xml:space="preserve">ошибкой 4,6 клетки. Обучаемая модель превосходит действующее клиническое правило по</w:t>
      </w:r>
      <w:r>
        <w:t xml:space="preserve"> </w:t>
      </w:r>
      <w:r>
        <w:t xml:space="preserve">АМГ незначительно (macro-F1 0,694 против 0,646), что одновременно подтверждает</w:t>
      </w:r>
      <w:r>
        <w:t xml:space="preserve"> </w:t>
      </w:r>
      <w:r>
        <w:t xml:space="preserve">обоснованность правила и очерчивает предел возможного улучшения на имеющемся наборе</w:t>
      </w:r>
      <w:r>
        <w:t xml:space="preserve"> </w:t>
      </w:r>
      <w:r>
        <w:t xml:space="preserve">признаков.</w:t>
      </w:r>
    </w:p>
    <w:p>
      <w:pPr>
        <w:pStyle w:val="BodyText"/>
      </w:pPr>
      <w:r>
        <w:t xml:space="preserve">Анализ выживаемости показал, что кумулятивная вероятность беременности достигает 0,289</w:t>
      </w:r>
      <w:r>
        <w:t xml:space="preserve"> </w:t>
      </w:r>
      <w:r>
        <w:t xml:space="preserve">к третьей попытке и существенно зависит от овариального резерва (p = 2,9 × 10⁻⁶⁵);</w:t>
      </w:r>
      <w:r>
        <w:t xml:space="preserve"> </w:t>
      </w:r>
      <w:r>
        <w:t xml:space="preserve">независимый вклад в неё вносят АМГ, возраст пациентки и уровень ФСГ.</w:t>
      </w:r>
    </w:p>
    <w:p>
      <w:pPr>
        <w:pStyle w:val="BodyText"/>
      </w:pPr>
      <w:r>
        <w:t xml:space="preserve">Причинный анализ методом сопоставления по склонности показал, что видимое преимущество</w:t>
      </w:r>
      <w:r>
        <w:t xml:space="preserve"> </w:t>
      </w:r>
      <w:r>
        <w:t xml:space="preserve">одного протокола стимуляции над другим (+3,97 ооцита) целиком объясняется различием</w:t>
      </w:r>
      <w:r>
        <w:t xml:space="preserve"> </w:t>
      </w:r>
      <w:r>
        <w:t xml:space="preserve">между пациентками, которым эти протоколы назначаются: после уравнивания групп эффект</w:t>
      </w:r>
      <w:r>
        <w:t xml:space="preserve"> </w:t>
      </w:r>
      <w:r>
        <w:t xml:space="preserve">составляет −0,20 ооцита и статистически незначим. Это предостерегает от интерпретации</w:t>
      </w:r>
      <w:r>
        <w:t xml:space="preserve"> </w:t>
      </w:r>
      <w:r>
        <w:t xml:space="preserve">подобных сравнений как доказательства превосходства протокола.</w:t>
      </w:r>
    </w:p>
    <w:p>
      <w:pPr>
        <w:pStyle w:val="BodyText"/>
      </w:pPr>
      <w:r>
        <w:t xml:space="preserve">Кластеризация не выявила фенотипов, не сводимых к градациям овариального резерва:</w:t>
      </w:r>
      <w:r>
        <w:t xml:space="preserve"> </w:t>
      </w:r>
      <w:r>
        <w:t xml:space="preserve">разделение по кластерам оказалось слабее разделения по АМГ на 158 порядков величины</w:t>
      </w:r>
      <w:r>
        <w:t xml:space="preserve"> </w:t>
      </w:r>
      <w:r>
        <w:t xml:space="preserve">p-значения. Разложение SHAP количественно подтвердило доминирование АМГ над остальными</w:t>
      </w:r>
      <w:r>
        <w:t xml:space="preserve"> </w:t>
      </w:r>
      <w:r>
        <w:t xml:space="preserve">признаками более чем в четыре раза.</w:t>
      </w:r>
    </w:p>
    <w:p>
      <w:pPr>
        <w:pStyle w:val="BodyText"/>
      </w:pPr>
      <w:r>
        <w:t xml:space="preserve">Для клинического применения модель требует калибровки: некалиброванная версия завышает</w:t>
      </w:r>
      <w:r>
        <w:t xml:space="preserve"> </w:t>
      </w:r>
      <w:r>
        <w:t xml:space="preserve">риск на 8,0 процентных пункта, калибровка методом Платта снижает ошибку вдвое без</w:t>
      </w:r>
      <w:r>
        <w:t xml:space="preserve"> </w:t>
      </w:r>
      <w:r>
        <w:t xml:space="preserve">потери разделяющей способности. Ансамблирование прироста не дало.</w:t>
      </w:r>
    </w:p>
    <w:p>
      <w:pPr>
        <w:pStyle w:val="BodyText"/>
      </w:pPr>
      <w:r>
        <w:t xml:space="preserve">Отдельным результатом работы является описание трёх методологических ловушек,</w:t>
      </w:r>
      <w:r>
        <w:t xml:space="preserve"> </w:t>
      </w:r>
      <w:r>
        <w:t xml:space="preserve">каждая из которых приводила к завышенным оценкам качества, и способа их</w:t>
      </w:r>
      <w:r>
        <w:t xml:space="preserve"> </w:t>
      </w:r>
      <w:r>
        <w:t xml:space="preserve">автоматического обнаружения.</w:t>
      </w:r>
    </w:p>
    <w:p>
      <w:r>
        <w:pict>
          <v:rect style="width:0;height:1.5pt" o:hralign="center" o:hrstd="t" o:hr="t"/>
        </w:pict>
      </w:r>
    </w:p>
    <w:bookmarkEnd w:id="32"/>
    <w:bookmarkStart w:id="63" w:name="рисунки"/>
    <w:p>
      <w:pPr>
        <w:pStyle w:val="Heading2"/>
      </w:pPr>
      <w:r>
        <w:t xml:space="preserve">Рисунки</w:t>
      </w:r>
    </w:p>
    <w:p>
      <w:pPr>
        <w:pStyle w:val="FirstParagraph"/>
      </w:pPr>
      <w:r>
        <w:drawing>
          <wp:inline>
            <wp:extent cx="5266577" cy="220738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s_docx/fig1_task_performa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577" cy="220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1.</w:t>
      </w:r>
      <w:r>
        <w:t xml:space="preserve"> </w:t>
      </w:r>
      <w:r>
        <w:t xml:space="preserve">Разделение клинически значимых исходов по предлечебным признакам. AUROC при пятикратной перекрёстной проверке; пунктиром — уровень случайного угадывания.</w:t>
      </w:r>
    </w:p>
    <w:p>
      <w:pPr>
        <w:pStyle w:val="BodyText"/>
      </w:pPr>
      <w:r>
        <w:drawing>
          <wp:inline>
            <wp:extent cx="5334000" cy="322858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_docx/fig2_amh_decil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2.</w:t>
      </w:r>
      <w:r>
        <w:t xml:space="preserve"> </w:t>
      </w:r>
      <w:r>
        <w:t xml:space="preserve">Овариальный ответ по децилям АМГ. Панель A — медиана числа полученных ооцитов. Панель B — доли бедного ответа и гиперответа.</w:t>
      </w:r>
    </w:p>
    <w:p>
      <w:pPr>
        <w:pStyle w:val="BodyText"/>
      </w:pPr>
      <w:r>
        <w:drawing>
          <wp:inline>
            <wp:extent cx="5334000" cy="254907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s_docx/fig3_model_vs_ru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3.</w:t>
      </w:r>
      <w:r>
        <w:t xml:space="preserve"> </w:t>
      </w:r>
      <w:r>
        <w:t xml:space="preserve">Трёхклассовый овариальный ответ: обучаемые модели против клинического правила по АМГ.</w:t>
      </w:r>
    </w:p>
    <w:p>
      <w:pPr>
        <w:pStyle w:val="BodyText"/>
      </w:pPr>
      <w:r>
        <w:drawing>
          <wp:inline>
            <wp:extent cx="5334000" cy="213724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s_docx/fig4_leakage_screen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4.</w:t>
      </w:r>
      <w:r>
        <w:t xml:space="preserve"> </w:t>
      </w:r>
      <w:r>
        <w:t xml:space="preserve">Автоматический скрининг утечек: AUROC одиночного признака для гиперответа.</w:t>
      </w:r>
    </w:p>
    <w:p>
      <w:pPr>
        <w:pStyle w:val="BodyText"/>
      </w:pPr>
      <w:r>
        <w:drawing>
          <wp:inline>
            <wp:extent cx="5334000" cy="198229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s_docx/fig5_annotation_collaps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5.</w:t>
      </w:r>
      <w:r>
        <w:t xml:space="preserve"> </w:t>
      </w:r>
      <w:r>
        <w:t xml:space="preserve">Экспертная разметка с алгоритмической подсказкой. Панель A — доля совпадений. Панель B — время принятия решения.</w:t>
      </w:r>
    </w:p>
    <w:p>
      <w:pPr>
        <w:pStyle w:val="BodyText"/>
      </w:pPr>
      <w:r>
        <w:drawing>
          <wp:inline>
            <wp:extent cx="5207042" cy="263939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s_docx/fig6_survival_k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42" cy="263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6.</w:t>
      </w:r>
      <w:r>
        <w:t xml:space="preserve"> </w:t>
      </w:r>
      <w:r>
        <w:t xml:space="preserve">Кумулятивная вероятность наступления беременности по числу попыток, стратифицированная по овариальному резерву (Каплан — Мейер).</w:t>
      </w:r>
    </w:p>
    <w:p>
      <w:pPr>
        <w:pStyle w:val="BodyText"/>
      </w:pPr>
      <w:r>
        <w:drawing>
          <wp:inline>
            <wp:extent cx="5334000" cy="218066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s_docx/fig7_causal_matching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7.</w:t>
      </w:r>
      <w:r>
        <w:t xml:space="preserve"> </w:t>
      </w:r>
      <w:r>
        <w:t xml:space="preserve">Смешение по показанию: эффект протокола до и после сопоставления по склонности.</w:t>
      </w:r>
    </w:p>
    <w:p>
      <w:pPr>
        <w:pStyle w:val="BodyText"/>
      </w:pPr>
      <w:r>
        <w:drawing>
          <wp:inline>
            <wp:extent cx="5334000" cy="247471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s_docx/fig8_shap_importanc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8.</w:t>
      </w:r>
      <w:r>
        <w:t xml:space="preserve"> </w:t>
      </w:r>
      <w:r>
        <w:t xml:space="preserve">Вклад признаков в отдельные предсказания риска гиперответа (SHAP).</w:t>
      </w:r>
    </w:p>
    <w:p>
      <w:pPr>
        <w:pStyle w:val="BodyText"/>
      </w:pPr>
      <w:r>
        <w:drawing>
          <wp:inline>
            <wp:extent cx="5334000" cy="231199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s_docx/fig9_calibr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9.</w:t>
      </w:r>
      <w:r>
        <w:t xml:space="preserve"> </w:t>
      </w:r>
      <w:r>
        <w:t xml:space="preserve">Калибровка вероятности гиперответа. Панель A — кривая надёжности. Панель B — ошибки калибровки.</w:t>
      </w:r>
    </w:p>
    <w:p>
      <w:pPr>
        <w:pStyle w:val="BodyText"/>
      </w:pPr>
      <w:r>
        <w:drawing>
          <wp:inline>
            <wp:extent cx="5334000" cy="237765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s_docx/fig10_cluster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10.</w:t>
      </w:r>
      <w:r>
        <w:t xml:space="preserve"> </w:t>
      </w:r>
      <w:r>
        <w:t xml:space="preserve">Фенотипы пациенток без учителя (UMAP + HDBSCAN).</w:t>
      </w:r>
    </w:p>
    <w:p>
      <w:r>
        <w:pict>
          <v:rect style="width:0;height:1.5pt" o:hralign="center" o:hrstd="t" o:hr="t"/>
        </w:pict>
      </w:r>
    </w:p>
    <w:bookmarkEnd w:id="63"/>
    <w:bookmarkStart w:id="64" w:name="воспроизводимость"/>
    <w:p>
      <w:pPr>
        <w:pStyle w:val="Heading2"/>
      </w:pPr>
      <w:r>
        <w:t xml:space="preserve">Воспроизводимость</w:t>
      </w:r>
    </w:p>
    <w:p>
      <w:pPr>
        <w:pStyle w:val="FirstParagraph"/>
      </w:pPr>
      <w:r>
        <w:t xml:space="preserve">Все результаты получены программным конвейером с фиксированным зерном генератора</w:t>
      </w:r>
      <w:r>
        <w:t xml:space="preserve"> </w:t>
      </w:r>
      <w:r>
        <w:t xml:space="preserve">случайных чисел (seed = 20260802). Скрипты:</w:t>
      </w:r>
      <w:r>
        <w:t xml:space="preserve"> </w:t>
      </w:r>
      <w:r>
        <w:rPr>
          <w:rStyle w:val="VerbatimChar"/>
        </w:rPr>
        <w:t xml:space="preserve">33_all_models.py</w:t>
      </w:r>
      <w:r>
        <w:t xml:space="preserve"> </w:t>
      </w:r>
      <w:r>
        <w:t xml:space="preserve">(семь задач),</w:t>
      </w:r>
      <w:r>
        <w:t xml:space="preserve"> </w:t>
      </w:r>
      <w:r>
        <w:rPr>
          <w:rStyle w:val="VerbatimChar"/>
        </w:rPr>
        <w:t xml:space="preserve">34_deep_mining.py</w:t>
      </w:r>
      <w:r>
        <w:t xml:space="preserve"> </w:t>
      </w:r>
      <w:r>
        <w:t xml:space="preserve">(разведка и скрининг утечек),</w:t>
      </w:r>
      <w:r>
        <w:t xml:space="preserve"> </w:t>
      </w:r>
      <w:r>
        <w:rPr>
          <w:rStyle w:val="VerbatimChar"/>
        </w:rPr>
        <w:t xml:space="preserve">35_clean_and_models.py</w:t>
      </w:r>
      <w:r>
        <w:t xml:space="preserve"> </w:t>
      </w:r>
      <w:r>
        <w:t xml:space="preserve">(проверка</w:t>
      </w:r>
      <w:r>
        <w:t xml:space="preserve"> </w:t>
      </w:r>
      <w:r>
        <w:t xml:space="preserve">кодирования пропусков),</w:t>
      </w:r>
      <w:r>
        <w:t xml:space="preserve"> </w:t>
      </w:r>
      <w:r>
        <w:rPr>
          <w:rStyle w:val="VerbatimChar"/>
        </w:rPr>
        <w:t xml:space="preserve">50_advanced.py</w:t>
      </w:r>
      <w:r>
        <w:t xml:space="preserve"> </w:t>
      </w:r>
      <w:r>
        <w:t xml:space="preserve">(выживаемость, причинный анализ,</w:t>
      </w:r>
      <w:r>
        <w:t xml:space="preserve"> </w:t>
      </w:r>
      <w:r>
        <w:t xml:space="preserve">кластеризация, SHAP, калибровка, стекинг),</w:t>
      </w:r>
      <w:r>
        <w:t xml:space="preserve"> </w:t>
      </w:r>
      <w:r>
        <w:rPr>
          <w:rStyle w:val="VerbatimChar"/>
        </w:rPr>
        <w:t xml:space="preserve">40_figures_mdpi.py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51_figures_advanced.py</w:t>
      </w:r>
      <w:r>
        <w:t xml:space="preserve"> </w:t>
      </w:r>
      <w:r>
        <w:t xml:space="preserve">(рисунки). Результаты сохранены в виде</w:t>
      </w:r>
      <w:r>
        <w:t xml:space="preserve"> </w:t>
      </w:r>
      <w:r>
        <w:t xml:space="preserve">таблиц CSV и метаданных JSON. Исходные выгрузки использовались в режиме чтения;</w:t>
      </w:r>
      <w:r>
        <w:t xml:space="preserve"> </w:t>
      </w:r>
      <w:r>
        <w:t xml:space="preserve">персональные данные пациенток в анализе не участвовали.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2026-08-04T05:10:11Z</dcterms:created>
  <dcterms:modified xsi:type="dcterms:W3CDTF">2026-08-04T05:10:11Z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