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Compte rendu – Politique de gestion des PAN (Socle Data / Plateforme de reporting)</w:t>
      </w:r>
    </w:p>
    <w:p>
      <w:pPr>
        <w:spacing w:after="40"/>
      </w:pPr>
      <w:r>
        <w:rPr>
          <w:b/>
          <w:bCs/>
        </w:rPr>
        <w:t xml:space="preserve">Date : </w:t>
      </w:r>
      <w:r>
        <w:rPr>
          <w:i/>
          <w:iCs/>
        </w:rPr>
        <w:t xml:space="preserve">[à compléter]</w:t>
      </w:r>
    </w:p>
    <w:p>
      <w:pPr>
        <w:spacing w:after="40"/>
      </w:pPr>
      <w:r>
        <w:rPr>
          <w:b/>
          <w:bCs/>
        </w:rPr>
        <w:t xml:space="preserve">Organisateur : </w:t>
      </w:r>
      <w:r>
        <w:rPr>
          <w:i w:val="false"/>
          <w:iCs w:val="false"/>
        </w:rPr>
        <w:t xml:space="preserve">El Hadi AIT MAHIDDINE</w:t>
      </w:r>
    </w:p>
    <w:p>
      <w:pPr>
        <w:spacing w:after="40"/>
      </w:pPr>
      <w:r>
        <w:rPr>
          <w:b/>
          <w:bCs/>
        </w:rPr>
        <w:t xml:space="preserve">Participants : </w:t>
      </w:r>
      <w:r>
        <w:rPr>
          <w:i/>
          <w:iCs/>
        </w:rPr>
        <w:t xml:space="preserve">[à compléter]</w:t>
      </w:r>
    </w:p>
    <w:p>
      <w:pPr>
        <w:pBdr>
          <w:bottom w:val="single" w:color="1F4E79" w:sz="6" w:space="4"/>
        </w:pBdr>
        <w:spacing w:after="120"/>
      </w:pPr>
      <w:r>
        <w:rPr>
          <w:b/>
          <w:bCs/>
        </w:rPr>
        <w:t xml:space="preserve">Source : </w:t>
      </w:r>
      <w:r>
        <w:t xml:space="preserve">transcription de la réunion (CR basé uniquement sur les échanges et éléments associés)</w:t>
      </w:r>
    </w:p>
    <w:p>
      <w:pPr>
        <w:pStyle w:val="Heading1"/>
        <w:spacing w:after="120" w:before="280"/>
      </w:pPr>
      <w:r>
        <w:t xml:space="preserve">1. Objet</w:t>
      </w:r>
    </w:p>
    <w:p>
      <w:pPr>
        <w:spacing w:after="100"/>
      </w:pPr>
      <w:r>
        <w:t xml:space="preserve">Définir la politique d'exposition, de stockage, de rétention et de déchiffrement des PAN dans le cadre des échanges entre le Socle Data, la plateforme de reporting et les assets consommateurs.</w:t>
      </w:r>
    </w:p>
    <w:p>
      <w:pPr>
        <w:pStyle w:val="Heading1"/>
        <w:spacing w:after="120" w:before="280"/>
      </w:pPr>
      <w:r>
        <w:t xml:space="preserve">2. Rappel – Fonctionnement avec cryptoService (transchiffrement)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Les PAN sont stockés chiffrés côté Socle Data.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Les PAN sont toujours transmis sous forme chiffrée, via cryptoService.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 transchiffrement vers le consommateur/asset demandeur est systématiquement réalisé par cryptoService (clé publique du demandeur connue de cryptoService).</w:t>
      </w:r>
    </w:p>
    <w:p>
      <w:pPr>
        <w:pStyle w:val="Heading1"/>
        <w:spacing w:after="120" w:before="280"/>
      </w:pPr>
      <w:r>
        <w:t xml:space="preserve">3. Principes et invariants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Minimisation : </w:t>
      </w:r>
      <w:r>
        <w:t xml:space="preserve">le PAN n'est pas exposé systématiquement ; son exposition est limitée aux seuls cas d'usage qui le nécessitent.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Accès explicite : </w:t>
      </w:r>
      <w:r>
        <w:t xml:space="preserve">les consommateurs doivent demander explicitement l'accès au PAN lorsqu'il est indispensable.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Aucune persistance en clair : </w:t>
      </w:r>
      <w:r>
        <w:t xml:space="preserve">les PAN déchiffrés ne sont jamais persistés. Le déchiffrement est réalisé au dernier moment, en mémoire uniquement.</w:t>
      </w:r>
    </w:p>
    <w:p>
      <w:pPr>
        <w:pStyle w:val="Heading1"/>
        <w:spacing w:after="120" w:before="280"/>
      </w:pPr>
      <w:r>
        <w:t xml:space="preserve">4. Point débattu – Rétention des datasets contenant des PAN chiffrés</w:t>
      </w:r>
    </w:p>
    <w:p>
      <w:pPr>
        <w:spacing w:after="100"/>
      </w:pPr>
      <w:r>
        <w:t xml:space="preserve">Deux positions ont été exprimées 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Ces données peuvent suivre les règles de rétention standard du reporting.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Le chiffrement relève principalement d'un mécanisme de transport ; une rétention prolongée côté plateforme de reporting mérite donc une analyse spécifique.</w:t>
      </w:r>
    </w:p>
    <w:p>
      <w:pPr>
        <w:spacing w:after="100"/>
      </w:pPr>
      <w:r>
        <w:rPr>
          <w:b/>
          <w:bCs/>
        </w:rPr>
        <w:t xml:space="preserve">→ Point non tranché.</w:t>
      </w:r>
    </w:p>
    <w:p>
      <w:pPr>
        <w:pStyle w:val="Heading1"/>
        <w:spacing w:after="120" w:before="280"/>
      </w:pPr>
      <w:r>
        <w:t xml:space="preserve">5. Constats et pistes de solution</w:t>
      </w:r>
    </w:p>
    <w:p>
      <w:pPr>
        <w:pStyle w:val="Heading2"/>
        <w:spacing w:after="80" w:before="160"/>
      </w:pPr>
      <w:r>
        <w:t xml:space="preserve">Constats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Certains rapports nécessitent un PAN déchiffrable.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 majorité des rapports n'en ont pas besoin.</w:t>
      </w:r>
    </w:p>
    <w:p>
      <w:pPr>
        <w:pStyle w:val="Heading2"/>
        <w:spacing w:after="80" w:before="160"/>
      </w:pPr>
      <w:r>
        <w:t xml:space="preserve">Approche A – Exposition séparée du PAN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Fournir des extractions dédiées au PAN selon les cas d'usage, voire exposer le PAN comme objet distinct du dataset business.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Avantages : </w:t>
      </w:r>
      <w:r>
        <w:t xml:space="preserve">simplification et meilleur contrôle des accès.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Limite : </w:t>
      </w:r>
      <w:r>
        <w:t xml:space="preserve">le design reste contraint par la présence d'une donnée chiffrée.</w:t>
      </w:r>
    </w:p>
    <w:p>
      <w:pPr>
        <w:pStyle w:val="Heading2"/>
        <w:spacing w:after="80" w:before="160"/>
      </w:pPr>
      <w:r>
        <w:t xml:space="preserve">Approche B – Datasets paramétrables (opt-in)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Par défaut, le data product est servi sans le champ PAN.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 PAN (chiffré) n'est inclus que si le consommateur le demande explicitement.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Mise en œuvre : </w:t>
      </w:r>
      <w:r>
        <w:t xml:space="preserve">attribut PAN à </w:t>
      </w:r>
      <w:r>
        <w:rPr>
          <w:rFonts w:ascii="Consolas" w:cs="Consolas" w:eastAsia="Consolas" w:hAnsi="Consolas"/>
          <w:sz w:val="20"/>
          <w:szCs w:val="20"/>
        </w:rPr>
        <w:t xml:space="preserve">null</w:t>
      </w:r>
      <w:r>
        <w:t xml:space="preserve"> dans l'objet Java sérialisé, annoté </w:t>
      </w:r>
      <w:r>
        <w:rPr>
          <w:rFonts w:ascii="Consolas" w:cs="Consolas" w:eastAsia="Consolas" w:hAnsi="Consolas"/>
          <w:sz w:val="20"/>
          <w:szCs w:val="20"/>
        </w:rPr>
        <w:t xml:space="preserve">@JsonInclude(Include.NON_NULL)</w:t>
      </w:r>
      <w:r>
        <w:t xml:space="preserve">.</w:t>
      </w:r>
    </w:p>
    <w:p>
      <w:pPr>
        <w:pStyle w:val="Heading1"/>
        <w:spacing w:after="120" w:before="280"/>
      </w:pPr>
      <w:r>
        <w:t xml:space="preserve">6. Prochaines étapes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00"/>
        <w:gridCol w:w="2026"/>
      </w:tblGrid>
      <w:tr>
        <w:trPr>
          <w:tblHeader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Responsable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Échéance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Arbitrer la solution (A ou B) en atelier ITGA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</w:rPr>
              <w:t xml:space="preserve">[à compléter]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</w:rPr>
              <w:t xml:space="preserve">[à compléter]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Instruire la solution avec ITMS et la technical team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</w:rPr>
              <w:t xml:space="preserve">[à compléter]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</w:rPr>
              <w:t xml:space="preserve">[à compléter]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Validation sécurité, le cas échéant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</w:rPr>
              <w:t xml:space="preserve">[à compléter]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</w:rPr>
              <w:t xml:space="preserve">[à compléter]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Statuer sur la politique de rétention des PAN chiffrés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</w:rPr>
              <w:t xml:space="preserve">[à compléter]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</w:rPr>
              <w:t xml:space="preserve">[à compléter]</w:t>
            </w:r>
          </w:p>
        </w:tc>
      </w:tr>
    </w:tbl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4E79"/>
      <w:sz w:val="32"/>
      <w:szCs w:val="32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2026-09-23T10:14:41.609Z</dcterms:created>
  <dcterms:modified xsi:type="dcterms:W3CDTF">2026-09-23T10:14:41.618Z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