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CBCF"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b/>
          <w:bCs/>
          <w:kern w:val="0"/>
          <w14:ligatures w14:val="none"/>
        </w:rPr>
        <w:t>Discussion</w:t>
      </w:r>
    </w:p>
    <w:p w14:paraId="7AF9C507" w14:textId="530F400E" w:rsidR="00781951" w:rsidRPr="00781951" w:rsidRDefault="00781951" w:rsidP="00781951">
      <w:pPr>
        <w:spacing w:before="100" w:beforeAutospacing="1" w:after="100" w:afterAutospacing="1" w:line="240" w:lineRule="auto"/>
        <w:rPr>
          <w:rFonts w:ascii="Times New Roman" w:eastAsia="Times New Roman" w:hAnsi="Times New Roman" w:cs="Times New Roman"/>
          <w:kern w:val="0"/>
          <w14:ligatures w14:val="none"/>
        </w:rPr>
      </w:pPr>
      <w:r w:rsidRPr="00781951">
        <w:rPr>
          <w:rFonts w:ascii="Times New Roman" w:eastAsia="Times New Roman" w:hAnsi="Times New Roman" w:cs="Times New Roman"/>
          <w:kern w:val="0"/>
          <w14:ligatures w14:val="none"/>
        </w:rPr>
        <w:t>CoRaDyn extends the controlled-comparison approach of CoRa by considering a system's full perturbation response trajectory, rather than a single steady-state endpoint, and the PID stress test illustrates why this extension matters biologically. Controllers with structural differences that lead to starkly different transient dynamics (Fig. 3B–E) can be indistinguishable under a CoRa assessment. In the PID case, this effect results from the shared integral feedback module between systems, which makes them capable of achieving perfect adaptation and, thus, yields a CoRa value of zero despite the structural differences introduced by parametrization. Once the transient response is taken into account, CoRaDyn's assessment of these structures diverges, and their relative performance shifts as the evaluation window varies.</w:t>
      </w:r>
    </w:p>
    <w:p w14:paraId="5B0888C4" w14:textId="77777777" w:rsidR="00781951" w:rsidRDefault="00781951" w:rsidP="00781951">
      <w:pPr>
        <w:spacing w:before="100" w:beforeAutospacing="1" w:after="100" w:afterAutospacing="1" w:line="240" w:lineRule="auto"/>
        <w:rPr>
          <w:rFonts w:ascii="Times New Roman" w:eastAsia="Times New Roman" w:hAnsi="Times New Roman" w:cs="Times New Roman"/>
          <w:kern w:val="0"/>
          <w14:ligatures w14:val="none"/>
        </w:rPr>
      </w:pPr>
      <w:r w:rsidRPr="00781951">
        <w:rPr>
          <w:rFonts w:ascii="Times New Roman" w:eastAsia="Times New Roman" w:hAnsi="Times New Roman" w:cs="Times New Roman"/>
          <w:kern w:val="0"/>
          <w14:ligatures w14:val="none"/>
        </w:rPr>
        <w:t>This raises the question of what "better performance" means for a given controller. Because CoRaDyn compares the cumulative deviation of the original system to that of its feedback-disrupted counterpart, values closer to zero indicate a greater contribution of the feedback under assessment to the system's capacity to return the controlled variable toward its pre-perturbation state within a given evaluation window. This is similar to the mechanistic interpretation of CoRa. However, unlike CoRa, whether a value close to zero translates into appropriate performance depends on the controller's biological function. A regulatory circuit that maintains distinct pH levels across the cytosol and other cellular compartments (Casey, Grinstein, &amp; Orlowski, 2010), for example, may indeed exhibit low CoRaDyn values throughout the response, as it minimizes deviations from its operating point. In contrast, a circuit that regulates bacterial chemotaxis (Tu, 2013) may exhibit high CoRaDyn values when evaluated at intermediate times — not signifying inappropriate performance but reflecting a function that depends on a transient response with a substantive initial deviation. This context-dependent interpretation is not a shortcoming of the metric but a structural feature of it, as it forces the user to explicitly state what a well-adapted response should look like for the biological system under study.</w:t>
      </w:r>
    </w:p>
    <w:p w14:paraId="4CED592E" w14:textId="15070C14" w:rsidR="00B405BF" w:rsidRDefault="00B405BF" w:rsidP="0078195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Moreover, given </w:t>
      </w:r>
      <w:r w:rsidRPr="00B405BF">
        <w:rPr>
          <w:rFonts w:ascii="Times New Roman" w:eastAsia="Times New Roman" w:hAnsi="Times New Roman" w:cs="Times New Roman"/>
          <w:kern w:val="0"/>
          <w14:ligatures w14:val="none"/>
        </w:rPr>
        <w:t>CoRaDyn's dependence on the evaluation time</w:t>
      </w:r>
      <w:r>
        <w:rPr>
          <w:rFonts w:ascii="Times New Roman" w:eastAsia="Times New Roman" w:hAnsi="Times New Roman" w:cs="Times New Roman"/>
          <w:kern w:val="0"/>
          <w14:ligatures w14:val="none"/>
        </w:rPr>
        <w:t xml:space="preserve">, </w:t>
      </w:r>
      <w:r w:rsidRPr="00B405BF">
        <w:rPr>
          <w:rFonts w:ascii="Times New Roman" w:eastAsia="Times New Roman" w:hAnsi="Times New Roman" w:cs="Times New Roman"/>
          <w:kern w:val="0"/>
          <w14:ligatures w14:val="none"/>
        </w:rPr>
        <w:t xml:space="preserve">how should tₙ be chosen? Rather than treating this as a parameter requiring a single, universally justified value, the temporal profile of CoRaDyn(t) can be used to inform the analysis. Within these profiles, the times at which controllers cross, converge, or separate identify the specific phases of the response during which particular feedback components dominate (Figs. 3–5), information that is lost by collapsing the comparison to a single evaluation time. When a fixed tₙ is required — for example, to summarize performance across a parameter </w:t>
      </w:r>
      <w:r w:rsidR="000C1F34">
        <w:rPr>
          <w:rFonts w:ascii="Times New Roman" w:eastAsia="Times New Roman" w:hAnsi="Times New Roman" w:cs="Times New Roman"/>
          <w:kern w:val="0"/>
          <w14:ligatures w14:val="none"/>
        </w:rPr>
        <w:t>space</w:t>
      </w:r>
      <w:r w:rsidRPr="00B405BF">
        <w:rPr>
          <w:rFonts w:ascii="Times New Roman" w:eastAsia="Times New Roman" w:hAnsi="Times New Roman" w:cs="Times New Roman"/>
          <w:kern w:val="0"/>
          <w14:ligatures w14:val="none"/>
        </w:rPr>
        <w:t xml:space="preserve"> — it should be chosen to reflect the timescale of the biological process being asked about (e.g., the time to reach a new physiological set point, the duration of a relevant developmental or signaling window, or the timescale over which experimental measurements are available). In the absence of such biological context, reporting the full profile, or a small number of representative evaluation times spanning early, intermediate, and asymptotic behavior, is preferable to selecting an arbitrary single value.</w:t>
      </w:r>
    </w:p>
    <w:p w14:paraId="71739E58" w14:textId="5C809BFE" w:rsidR="00781951" w:rsidRPr="00781951" w:rsidRDefault="00781951" w:rsidP="00781951">
      <w:pPr>
        <w:spacing w:before="100" w:beforeAutospacing="1" w:after="100" w:afterAutospacing="1" w:line="240" w:lineRule="auto"/>
        <w:rPr>
          <w:rFonts w:ascii="Times New Roman" w:eastAsia="Times New Roman" w:hAnsi="Times New Roman" w:cs="Times New Roman"/>
          <w:kern w:val="0"/>
          <w14:ligatures w14:val="none"/>
        </w:rPr>
      </w:pPr>
      <w:r w:rsidRPr="00781951">
        <w:rPr>
          <w:rFonts w:ascii="Times New Roman" w:eastAsia="Times New Roman" w:hAnsi="Times New Roman" w:cs="Times New Roman"/>
          <w:kern w:val="0"/>
          <w14:ligatures w14:val="none"/>
        </w:rPr>
        <w:t xml:space="preserve">This interpretive requirement invites a comparison with classical performance measures used in control theory to evaluate transient responses. Rise time, overshoot, settling time, and steady-state value are key performance properties of a system's step response (Åström &amp; Murray, 2008). These metrics also rely on prior knowledge of what constitutes a suitable value, and, in many </w:t>
      </w:r>
      <w:r w:rsidRPr="00781951">
        <w:rPr>
          <w:rFonts w:ascii="Times New Roman" w:eastAsia="Times New Roman" w:hAnsi="Times New Roman" w:cs="Times New Roman"/>
          <w:kern w:val="0"/>
          <w14:ligatures w14:val="none"/>
        </w:rPr>
        <w:lastRenderedPageBreak/>
        <w:t>cases, there are trade-offs when optimizing for them. In an attempt to develop a metric or criterion that accounts for most of these characteristics at once, multiple approaches have been proposed, including integral error criteria, which are cost functions in the form of an integral of squared error (ISE), absolute error (IAE), time-multiplied squared error (ITSE), or time-multiplied absolute error (ITAE), among others (Graham &amp; Lathrop, 1953; Peterson &amp; Nassar, 1978). Structurally, CoRaDyn resembles an IAE approach, as it integrates the absolute deviation of the output from its target over a time window. However, the key difference is the mathematically controlled comparison inherited from CoRa, leading CoRaDyn to be computed as a ratio against the trajectory of a locally analogous feedback-disrupted system, whereas classical error integrals are computed on the trajectory of the system of interest alone. This comparative normalization is what allows the contribution of individual, overlapping feedback loops to be isolated within a single composite architecture (Fig. 5), a decomposition that classical performance properties or IAE alone cannot provide.</w:t>
      </w:r>
    </w:p>
    <w:p w14:paraId="14A89842" w14:textId="79DE3AC1" w:rsidR="00773688" w:rsidRPr="00773688" w:rsidRDefault="00773688" w:rsidP="00781951">
      <w:pPr>
        <w:spacing w:after="0"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Several limitations follow directly from the assumptions underlying the controlled comparison. First, as with CoRa, constructing a locally analogous feedback-disrupted system is straightforward in a mathematical model, where any interaction can be replaced by a calibrated constant input, but may be difficult or impossible to realize experimentally in a real biological network, where disrupting a single interaction without altering others is rarely a clean intervention. Second, because CoRaDyn captures the full shape of the response rather than only its endpoint, it is more sensitive than CoRa to the magnitude of the applied perturbation, particularly near dynamical transitions such as bifurcations between damped and sustained oscillations (Fig. 6); comparisons across systems or parameter sets are therefore only meaningful if perturbation size is held fixed or explicitly accounted for. Third, and most fundamentally, CoRaDyn as formulated here requires a stable pre-perturbation steady state, since both the original and feedback-disrupted systems must share a well-defined operating point before the perturbation is applied. This excludes systems that are already oscillating, cycling, or otherwise dynamically active prior to perturbation—precisely the regime occupied by many biological oscillators that nonetheless achieve a robust form of control. [REF: Thorsen et al., 2014] showed that integral feedback can maintain a robust average concentration and period in systems that settle not to a fixed point but to a limit cycle, terming these architectures oscillatory homeostats. Extending the locally analogous comparison framework to accommodate a periodic rather than a stationary pre-perturbation reference—for example, by comparing phase-averaged or cycle-to-cycle trajectories instead of absolute deviations from a fixed point—would allow CoRaDyn-type analyses to be applied to this broader and biologically important class of systems, and we see this as a natural direction for future work.</w:t>
      </w:r>
    </w:p>
    <w:p w14:paraId="22E5CA6F"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 xml:space="preserve">Additional extensions follow from the fact that our analysis, like the original development of CoRa, relies entirely on deterministic simulations of a synthetic model system. Real biological measurements are noisy [REF], and because CoRaDyn integrates absolute log-deviations over time, measurement noise in the controlled variable will propagate into the metric in ways that have not been characterized here; establishing how to estimate CoRaDyn and its uncertainty from replicate, noisy time-course data is an important next step for applying the framework to experimental systems. Likewise, we restricted our analysis to a single step perturbation, whereas many physiological inputs are pulsatile, ramped, or periodic [REF]; because CoRaDyn is defined for arbitrary trajectories, extending the comparison to such perturbation classes should be </w:t>
      </w:r>
      <w:r w:rsidRPr="00773688">
        <w:rPr>
          <w:rFonts w:ascii="Times New Roman" w:eastAsia="Times New Roman" w:hAnsi="Times New Roman" w:cs="Times New Roman"/>
          <w:kern w:val="0"/>
          <w14:ligatures w14:val="none"/>
        </w:rPr>
        <w:lastRenderedPageBreak/>
        <w:t>straightforward in principle, though the interpretation of the resulting profiles may require additional care. Finally, although we used a synthetic PID controller to stress-test CoRaDyn under controlled and interpretable conditions, the framework is not specific to this architecture. Feedback systems in which transient dynamics plausibly matter as much as the eventual steady state—chemotactic adaptation [REF], calcium and hormonal pulsing [REF], or the shape of stress-response overshoot [REF]—are natural candidates for future application, and would allow CoRaDyn to be evaluated not only as a diagnostic of model behavior but as a tool for comparing regulatory strategies across real biological systems.</w:t>
      </w:r>
    </w:p>
    <w:p w14:paraId="6493CF7A" w14:textId="77777777" w:rsid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Together, these results establish CoRaDyn as a general framework for evaluating feedback performance as a process rather than an outcome. By retaining the mathematically controlled comparison that gives CoRa its ability to attribute behavior to a specific feedback interaction, while extending the point of comparison from a single steady state to the full adaptive trajectory, CoRaDyn makes it possible to ask when, not only whether, feedback matters—and to do so at whatever temporal resolution the underlying biological question demands.</w:t>
      </w:r>
    </w:p>
    <w:p w14:paraId="49FCFD48" w14:textId="468DEF4C" w:rsidR="00212FA1" w:rsidRPr="00773688" w:rsidRDefault="00212FA1" w:rsidP="0077368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Comaprison between models is not fair </w:t>
      </w:r>
    </w:p>
    <w:p w14:paraId="158B5C48" w14:textId="77777777" w:rsidR="00773688" w:rsidRPr="00773688" w:rsidRDefault="00DF4F8E" w:rsidP="0077368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DCBDC4">
          <v:rect id="_x0000_i1025" alt="" style="width:468pt;height:.05pt;mso-width-percent:0;mso-height-percent:0;mso-width-percent:0;mso-height-percent:0" o:hralign="center" o:hrstd="t" o:hr="t" fillcolor="#a0a0a0" stroked="f"/>
        </w:pict>
      </w:r>
    </w:p>
    <w:p w14:paraId="1E5FEB48"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b/>
          <w:bCs/>
          <w:kern w:val="0"/>
          <w14:ligatures w14:val="none"/>
        </w:rPr>
        <w:t>Proposed references for each placeholder</w:t>
      </w:r>
    </w:p>
    <w:p w14:paraId="4C12BD14" w14:textId="69CCEA04" w:rsidR="005A1EF8" w:rsidRDefault="005A1EF8" w:rsidP="0077368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Adaptation time </w:t>
      </w:r>
    </w:p>
    <w:p w14:paraId="4DA84039" w14:textId="13089A43"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Classical control metrics (settling time, rise time, overshoot, IAE/ISE) — Åström KJ, Murray RM. Feedback Systems: An Introduction for Scientists and Engineers. Princeton University Press; 2008. (The standard textbook reference for these definitions; used already in similar contexts by Chevalier et al. 2019, which you cite elsewhere.)</w:t>
      </w:r>
    </w:p>
    <w:p w14:paraId="4AB4BC13"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Oscillatory homeostats — already resolved: Thorsen K, Drengstig T, Ruoff P. "Robust Concentration and Frequency Control in Oscillatory Homeostats." PLoS ONE. 2014;9(9):e107766.</w:t>
      </w:r>
    </w:p>
    <w:p w14:paraId="129FF7ED"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Biological measurement noise — Elowitz MB, Levine AJ, Siggia ED, Swain PS. "Stochastic gene expression in a single cell." Science. 2002;297(5584):1183–1186. (Foundational citation for noise in the controlled variable; alternatively Paulsson J. "Models of stochastic gene expression." Phys Life Rev. 2005;2(2):157–175, if you want a more mechanistic/modeling-focused citation.)</w:t>
      </w:r>
    </w:p>
    <w:p w14:paraId="1DF6FC77"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Pulsatile/periodic physiological inputs — Levine JH, Lin Y, Elowitz MB. "Functional roles of pulsing in genetic circuits." Science. 2013;342(6163):1193–1200. (Directly about non-step, pulsatile inputs/outputs in gene circuits.)</w:t>
      </w:r>
    </w:p>
    <w:p w14:paraId="27403201"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Chemotactic adaptation — Yi TM, Huang Y, Simon MI, Doyle J. "Robust perfect adaptation in bacterial chemotaxis through integral feedback control." Proc Natl Acad Sci USA. 2000;97(9):4649–4653. (Classic integral-feedback chemotaxis paper, thematically close to your PID/integral-feedback framing.)</w:t>
      </w:r>
    </w:p>
    <w:p w14:paraId="64CB22DB"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lastRenderedPageBreak/>
        <w:t>Calcium/hormonal pulsing — Dolmetsch RE, Xu K, Lewis RS. "Calcium oscillations increase the efficiency and specificity of gene expression." Nature. 1998;392(6679):933–936. (Or reuse Purvis &amp; Lahav 2013 above if you'd rather not double up on calcium-specific citations.)</w:t>
      </w:r>
    </w:p>
    <w:p w14:paraId="60052B3C" w14:textId="77777777" w:rsidR="00773688" w:rsidRPr="00773688" w:rsidRDefault="00773688" w:rsidP="00773688">
      <w:pPr>
        <w:spacing w:before="100" w:beforeAutospacing="1" w:after="100" w:afterAutospacing="1" w:line="240" w:lineRule="auto"/>
        <w:rPr>
          <w:rFonts w:ascii="Times New Roman" w:eastAsia="Times New Roman" w:hAnsi="Times New Roman" w:cs="Times New Roman"/>
          <w:kern w:val="0"/>
          <w14:ligatures w14:val="none"/>
        </w:rPr>
      </w:pPr>
      <w:r w:rsidRPr="00773688">
        <w:rPr>
          <w:rFonts w:ascii="Times New Roman" w:eastAsia="Times New Roman" w:hAnsi="Times New Roman" w:cs="Times New Roman"/>
          <w:kern w:val="0"/>
          <w14:ligatures w14:val="none"/>
        </w:rPr>
        <w:t>Stress-response overshoot — El-Samad H, Kurata H, Doyle JC, Gross CA, Khammash M. "Surviving heat shock: Control strategies for robustness and performance." Proc Natl Acad Sci USA. 2005;102(8):2736–2741. (Especially fitting since it's a control-theoretic treatment of a stress response, and El-Samad co-authored the original CoRa paper — nice thread to pull through.)</w:t>
      </w:r>
    </w:p>
    <w:p w14:paraId="1BB760D4" w14:textId="77777777" w:rsidR="00A86C27" w:rsidRDefault="00A86C27"/>
    <w:sectPr w:rsidR="00A86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88"/>
    <w:rsid w:val="000032CD"/>
    <w:rsid w:val="00006A79"/>
    <w:rsid w:val="00032466"/>
    <w:rsid w:val="000629EF"/>
    <w:rsid w:val="00076A64"/>
    <w:rsid w:val="000C059C"/>
    <w:rsid w:val="000C1F34"/>
    <w:rsid w:val="000E7323"/>
    <w:rsid w:val="0014509F"/>
    <w:rsid w:val="00162F8E"/>
    <w:rsid w:val="001E1F39"/>
    <w:rsid w:val="00212FA1"/>
    <w:rsid w:val="0027267E"/>
    <w:rsid w:val="002D149A"/>
    <w:rsid w:val="00364134"/>
    <w:rsid w:val="00396950"/>
    <w:rsid w:val="003E4DA3"/>
    <w:rsid w:val="00443CB1"/>
    <w:rsid w:val="00466D1E"/>
    <w:rsid w:val="004D0270"/>
    <w:rsid w:val="004E5F08"/>
    <w:rsid w:val="004F0A99"/>
    <w:rsid w:val="00523650"/>
    <w:rsid w:val="005A1940"/>
    <w:rsid w:val="005A1EF8"/>
    <w:rsid w:val="00630769"/>
    <w:rsid w:val="006658F2"/>
    <w:rsid w:val="00673E9B"/>
    <w:rsid w:val="006B414A"/>
    <w:rsid w:val="006D534F"/>
    <w:rsid w:val="006F314A"/>
    <w:rsid w:val="00773688"/>
    <w:rsid w:val="00781951"/>
    <w:rsid w:val="007866DD"/>
    <w:rsid w:val="007D3BF0"/>
    <w:rsid w:val="007F5D53"/>
    <w:rsid w:val="00867462"/>
    <w:rsid w:val="00895B4F"/>
    <w:rsid w:val="0089615D"/>
    <w:rsid w:val="008A5523"/>
    <w:rsid w:val="008D2894"/>
    <w:rsid w:val="00913A38"/>
    <w:rsid w:val="009D104C"/>
    <w:rsid w:val="009D3E16"/>
    <w:rsid w:val="00A83EBD"/>
    <w:rsid w:val="00A86C27"/>
    <w:rsid w:val="00A9344E"/>
    <w:rsid w:val="00A96A5C"/>
    <w:rsid w:val="00AB380F"/>
    <w:rsid w:val="00AC4A21"/>
    <w:rsid w:val="00AD7483"/>
    <w:rsid w:val="00B10206"/>
    <w:rsid w:val="00B1144E"/>
    <w:rsid w:val="00B33B51"/>
    <w:rsid w:val="00B405BF"/>
    <w:rsid w:val="00B66807"/>
    <w:rsid w:val="00C4774F"/>
    <w:rsid w:val="00CD3261"/>
    <w:rsid w:val="00CD5ADB"/>
    <w:rsid w:val="00D04CD4"/>
    <w:rsid w:val="00D072FF"/>
    <w:rsid w:val="00D34B17"/>
    <w:rsid w:val="00D4630B"/>
    <w:rsid w:val="00D50CBC"/>
    <w:rsid w:val="00DF4F8E"/>
    <w:rsid w:val="00E07281"/>
    <w:rsid w:val="00E14089"/>
    <w:rsid w:val="00F13DDE"/>
    <w:rsid w:val="00F55516"/>
    <w:rsid w:val="00FC0A36"/>
    <w:rsid w:val="00FE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B582"/>
  <w15:chartTrackingRefBased/>
  <w15:docId w15:val="{56D9F71A-42A9-3142-8129-D58B9F29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261"/>
  </w:style>
  <w:style w:type="paragraph" w:styleId="Heading1">
    <w:name w:val="heading 1"/>
    <w:basedOn w:val="Normal"/>
    <w:next w:val="Normal"/>
    <w:link w:val="Heading1Char"/>
    <w:uiPriority w:val="9"/>
    <w:qFormat/>
    <w:rsid w:val="00773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688"/>
    <w:rPr>
      <w:rFonts w:eastAsiaTheme="majorEastAsia" w:cstheme="majorBidi"/>
      <w:color w:val="272727" w:themeColor="text1" w:themeTint="D8"/>
    </w:rPr>
  </w:style>
  <w:style w:type="paragraph" w:styleId="Title">
    <w:name w:val="Title"/>
    <w:basedOn w:val="Normal"/>
    <w:next w:val="Normal"/>
    <w:link w:val="TitleChar"/>
    <w:uiPriority w:val="10"/>
    <w:qFormat/>
    <w:rsid w:val="0077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688"/>
    <w:pPr>
      <w:spacing w:before="160"/>
      <w:jc w:val="center"/>
    </w:pPr>
    <w:rPr>
      <w:i/>
      <w:iCs/>
      <w:color w:val="404040" w:themeColor="text1" w:themeTint="BF"/>
    </w:rPr>
  </w:style>
  <w:style w:type="character" w:customStyle="1" w:styleId="QuoteChar">
    <w:name w:val="Quote Char"/>
    <w:basedOn w:val="DefaultParagraphFont"/>
    <w:link w:val="Quote"/>
    <w:uiPriority w:val="29"/>
    <w:rsid w:val="00773688"/>
    <w:rPr>
      <w:i/>
      <w:iCs/>
      <w:color w:val="404040" w:themeColor="text1" w:themeTint="BF"/>
    </w:rPr>
  </w:style>
  <w:style w:type="paragraph" w:styleId="ListParagraph">
    <w:name w:val="List Paragraph"/>
    <w:basedOn w:val="Normal"/>
    <w:uiPriority w:val="34"/>
    <w:qFormat/>
    <w:rsid w:val="00773688"/>
    <w:pPr>
      <w:ind w:left="720"/>
      <w:contextualSpacing/>
    </w:pPr>
  </w:style>
  <w:style w:type="character" w:styleId="IntenseEmphasis">
    <w:name w:val="Intense Emphasis"/>
    <w:basedOn w:val="DefaultParagraphFont"/>
    <w:uiPriority w:val="21"/>
    <w:qFormat/>
    <w:rsid w:val="00773688"/>
    <w:rPr>
      <w:i/>
      <w:iCs/>
      <w:color w:val="0F4761" w:themeColor="accent1" w:themeShade="BF"/>
    </w:rPr>
  </w:style>
  <w:style w:type="paragraph" w:styleId="IntenseQuote">
    <w:name w:val="Intense Quote"/>
    <w:basedOn w:val="Normal"/>
    <w:next w:val="Normal"/>
    <w:link w:val="IntenseQuoteChar"/>
    <w:uiPriority w:val="30"/>
    <w:qFormat/>
    <w:rsid w:val="00773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688"/>
    <w:rPr>
      <w:i/>
      <w:iCs/>
      <w:color w:val="0F4761" w:themeColor="accent1" w:themeShade="BF"/>
    </w:rPr>
  </w:style>
  <w:style w:type="character" w:styleId="IntenseReference">
    <w:name w:val="Intense Reference"/>
    <w:basedOn w:val="DefaultParagraphFont"/>
    <w:uiPriority w:val="32"/>
    <w:qFormat/>
    <w:rsid w:val="00773688"/>
    <w:rPr>
      <w:b/>
      <w:bCs/>
      <w:smallCaps/>
      <w:color w:val="0F4761" w:themeColor="accent1" w:themeShade="BF"/>
      <w:spacing w:val="5"/>
    </w:rPr>
  </w:style>
  <w:style w:type="paragraph" w:customStyle="1" w:styleId="font-claude-response-body">
    <w:name w:val="font-claude-response-body"/>
    <w:basedOn w:val="Normal"/>
    <w:rsid w:val="007736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3688"/>
    <w:rPr>
      <w:b/>
      <w:bCs/>
    </w:rPr>
  </w:style>
  <w:style w:type="paragraph" w:customStyle="1" w:styleId="p1">
    <w:name w:val="p1"/>
    <w:basedOn w:val="Normal"/>
    <w:rsid w:val="00076A64"/>
    <w:pPr>
      <w:spacing w:after="0" w:line="240" w:lineRule="auto"/>
    </w:pPr>
    <w:rPr>
      <w:rFonts w:ascii="Helvetica" w:eastAsia="Times New Roman" w:hAnsi="Helvetica" w:cs="Times New Roman"/>
      <w:color w:val="21201E"/>
      <w:kern w:val="0"/>
      <w:sz w:val="17"/>
      <w:szCs w:val="17"/>
      <w14:ligatures w14:val="none"/>
    </w:rPr>
  </w:style>
  <w:style w:type="paragraph" w:styleId="NormalWeb">
    <w:name w:val="Normal (Web)"/>
    <w:basedOn w:val="Normal"/>
    <w:uiPriority w:val="99"/>
    <w:unhideWhenUsed/>
    <w:rsid w:val="004E5F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D534F"/>
    <w:rPr>
      <w:rFonts w:ascii="Times" w:hAnsi="Times"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4</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Tamayo Luisce</dc:creator>
  <cp:keywords/>
  <dc:description/>
  <cp:lastModifiedBy>Athena Tamayo Luisce</cp:lastModifiedBy>
  <cp:revision>7</cp:revision>
  <dcterms:created xsi:type="dcterms:W3CDTF">2026-08-18T20:07:00Z</dcterms:created>
  <dcterms:modified xsi:type="dcterms:W3CDTF">2026-08-21T05:49:00Z</dcterms:modified>
</cp:coreProperties>
</file>