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CFBA" w14:textId="77777777" w:rsidR="00E80001" w:rsidRDefault="00000000">
      <w:pPr>
        <w:pStyle w:val="FirstParagraph"/>
      </w:pPr>
      <w:r>
        <w:rPr>
          <w:b/>
          <w:bCs/>
        </w:rPr>
        <w:t>Discussion</w:t>
      </w:r>
    </w:p>
    <w:p w14:paraId="0316F6E7" w14:textId="77777777" w:rsidR="00E80001" w:rsidRPr="005B1629" w:rsidRDefault="00000000">
      <w:pPr>
        <w:pStyle w:val="BodyText"/>
        <w:rPr>
          <w:color w:val="EE0000"/>
        </w:rPr>
      </w:pPr>
      <w:r w:rsidRPr="005B1629">
        <w:rPr>
          <w:b/>
          <w:bCs/>
          <w:color w:val="EE0000"/>
        </w:rPr>
        <w:t>CoRaDyn extends the controlled-comparison approach of CoRa from steady-state endpoints to full response trajectories</w:t>
      </w:r>
    </w:p>
    <w:p w14:paraId="366305D8" w14:textId="77777777" w:rsidR="00150699" w:rsidRPr="00150699" w:rsidRDefault="00150699" w:rsidP="00150699">
      <w:pPr>
        <w:pStyle w:val="BodyText"/>
      </w:pPr>
      <w:r>
        <w:t>The Control Ratio framework (CoRa) was designed to systematically evaluate feedback control in modeled biological systems [REF: Gómez-Schiavon &amp; El-Samad, 2022], comparing the steady-state endpoint of the original system with that of a locally analogous system in which the feedback under study is disrupted. Its reliance on steady-state endpoints, however, means that any two controllers sharing the same proportional relationship between their feedback and feedback-disrupted steady-state deviations will be assigned the same CoRa value, regardless of the timescale or shape of their underlying transient dynamics (Fig. 3B–E). </w:t>
      </w:r>
    </w:p>
    <w:p w14:paraId="0FE411DA" w14:textId="1F350587" w:rsidR="00150699" w:rsidRPr="00150699" w:rsidRDefault="00150699" w:rsidP="00150699">
      <w:pPr>
        <w:pStyle w:val="BodyText"/>
      </w:pPr>
      <w:r>
        <w:t xml:space="preserve">Such differences can be biologically consequential. While some systems need to ensure homeostasis, minimizing deviations from a physiologically appropriate state when disturbed, others must instead meet functional requirements such as a particular adaptation speed [REF], a specific dynamical pattern [REF], or the generation of a temporary pulse [REF], properties most associated with biochemical adaptation. </w:t>
      </w:r>
      <w:r w:rsidR="00AC30F1">
        <w:t>Al</w:t>
      </w:r>
      <w:r>
        <w:t>though homeostasis and biochemical adaptation are both manifestations of feedback control, a metric that relies only on steady-state endpoints is less suited to characterize the latter.  </w:t>
      </w:r>
    </w:p>
    <w:p w14:paraId="24FFD943" w14:textId="17809586" w:rsidR="00150699" w:rsidRPr="00150699" w:rsidRDefault="00150699" w:rsidP="00150699">
      <w:pPr>
        <w:pStyle w:val="BodyText"/>
      </w:pPr>
      <w:proofErr w:type="spellStart"/>
      <w:r>
        <w:t>CoRaDyn</w:t>
      </w:r>
      <w:proofErr w:type="spellEnd"/>
      <w:r>
        <w:t xml:space="preserve"> overcomes </w:t>
      </w:r>
      <w:r w:rsidR="005B1629">
        <w:t>these limitations</w:t>
      </w:r>
      <w:r>
        <w:t xml:space="preserve"> by extending </w:t>
      </w:r>
      <w:proofErr w:type="spellStart"/>
      <w:r>
        <w:t>CoRa’s</w:t>
      </w:r>
      <w:proofErr w:type="spellEnd"/>
      <w:r>
        <w:t xml:space="preserve"> controlled-comparison framework to assess a system’s cumulative perturbation response over a specified evaluation time (</w:t>
      </w:r>
      <w:r w:rsidR="005B1629">
        <w:t>$$</w:t>
      </w:r>
      <w:proofErr w:type="spellStart"/>
      <w:r>
        <w:t>t</w:t>
      </w:r>
      <w:r w:rsidR="005B1629">
        <w:t>_</w:t>
      </w:r>
      <w:r>
        <w:t>n</w:t>
      </w:r>
      <w:proofErr w:type="spellEnd"/>
      <w:r w:rsidR="005B1629">
        <w:t>$$</w:t>
      </w:r>
      <w:r>
        <w:t xml:space="preserve">), rather than a single steady-state endpoint. Taking the transient response into account allows differences in the performance of controllers that are indistinguishable to CoRa to be quantified (Fig. </w:t>
      </w:r>
      <w:r w:rsidR="00636001">
        <w:t>2C</w:t>
      </w:r>
      <w:r>
        <w:t>). Conducting the assessment at different evaluation times further reveals how the relative performance of controllers that differ in parametrization or structure shifts as the evaluation window varies (Fig. 3F, 5E). Most importantly, it is also capable of isolating the individual contributions of distinct feedback components over time (Fig. 5E).</w:t>
      </w:r>
    </w:p>
    <w:p w14:paraId="50DF3EEE" w14:textId="77777777" w:rsidR="00E80001" w:rsidRDefault="00000000">
      <w:pPr>
        <w:pStyle w:val="BodyText"/>
      </w:pPr>
      <w:r>
        <w:rPr>
          <w:b/>
          <w:bCs/>
        </w:rPr>
        <w:t>Feedback contributions depend on the temporal scale of evaluation</w:t>
      </w:r>
    </w:p>
    <w:p w14:paraId="19AC8B2D" w14:textId="5DACDC1C" w:rsidR="003060ED" w:rsidRDefault="00000000">
      <w:pPr>
        <w:pStyle w:val="BodyText"/>
      </w:pPr>
      <w:r>
        <w:t>The contribution of a given feedback interaction to a system’s perturbation response varies with the evaluation time (</w:t>
      </w:r>
      <w:r w:rsidR="005B1629">
        <w:t>$$</w:t>
      </w:r>
      <w:proofErr w:type="spellStart"/>
      <w:r>
        <w:t>t</w:t>
      </w:r>
      <w:r w:rsidR="005B1629">
        <w:t>_</w:t>
      </w:r>
      <w:r>
        <w:t>n</w:t>
      </w:r>
      <w:proofErr w:type="spellEnd"/>
      <w:r w:rsidR="005B1629">
        <w:t>$$</w:t>
      </w:r>
      <w:r>
        <w:t>)</w:t>
      </w:r>
      <w:r w:rsidR="005B1629">
        <w:t xml:space="preserve"> (Fig. 2</w:t>
      </w:r>
      <w:r w:rsidR="00636001">
        <w:t>A</w:t>
      </w:r>
      <w:r w:rsidR="005B1629">
        <w:t>)</w:t>
      </w:r>
      <w:r>
        <w:t>, and different feedback mechanisms can occupy distinct temporal roles within the same response (Fig.</w:t>
      </w:r>
      <w:r w:rsidR="00636001">
        <w:t xml:space="preserve"> </w:t>
      </w:r>
      <w:r>
        <w:t xml:space="preserve">5E). When CoRaDyn temporal profiles from controllers with different parametrizations or structures are overlaid, the times at which they cross, converge, or separate mark specific phases of the response during which particular feedback components contribute the most. The overall shape of a profile further indicates whether a given contribution is sustained, transient, or changes character over the course of adaptation (Figs. 3-5) — </w:t>
      </w:r>
      <w:r w:rsidRPr="00C556F8">
        <w:rPr>
          <w:color w:val="EE0000"/>
        </w:rPr>
        <w:t>information that is lost whenever the evaluation time is fixed rather than explored.</w:t>
      </w:r>
    </w:p>
    <w:p w14:paraId="0C2A23E7" w14:textId="380A33E6" w:rsidR="00605AC9" w:rsidRPr="00605AC9" w:rsidRDefault="00E147C6" w:rsidP="00605AC9">
      <w:pPr>
        <w:pStyle w:val="BodyText"/>
      </w:pPr>
      <w:r>
        <w:t xml:space="preserve">Furthermore, </w:t>
      </w:r>
      <w:proofErr w:type="spellStart"/>
      <w:r>
        <w:t>CoRaDyn</w:t>
      </w:r>
      <w:proofErr w:type="spellEnd"/>
      <w:r>
        <w:t xml:space="preserve"> temporal profiles also reveal that relative performance can change non-monotonically across the parameter space (Fig. 4B-C). This means that a given set of parameters can strengthen a feedback’s contribution at early evaluation times while </w:t>
      </w:r>
      <w:r>
        <w:lastRenderedPageBreak/>
        <w:t xml:space="preserve">weakening it over longer periods, or the reverse. One should therefore be cautious of interpreting the effect of a feedback mechanism and associated parameters as globally beneficial or </w:t>
      </w:r>
      <w:proofErr w:type="gramStart"/>
      <w:r>
        <w:t>detrimental, and</w:t>
      </w:r>
      <w:proofErr w:type="gramEnd"/>
      <w:r>
        <w:t xml:space="preserve"> instead interpret it within the context of the specific temporal scale and parameter selection over which feedback control is being evaluated.</w:t>
      </w:r>
    </w:p>
    <w:p w14:paraId="0C54E45B" w14:textId="6DEDEAE2" w:rsidR="00874891" w:rsidRDefault="00E147C6" w:rsidP="00874891">
      <w:pPr>
        <w:pStyle w:val="BodyText"/>
      </w:pPr>
      <w:r>
        <w:t>Additionally, t</w:t>
      </w:r>
      <w:r w:rsidR="003F7344">
        <w:t>his temporal perspective enables the evaluation of feedback control in systems that never settle into a post-perturbation steady state</w:t>
      </w:r>
      <w:r w:rsidR="00141273">
        <w:t xml:space="preserve"> </w:t>
      </w:r>
      <w:r w:rsidR="00141273" w:rsidRPr="00EA18F7">
        <w:t>(Supplementary Fig. X</w:t>
      </w:r>
      <w:r w:rsidR="00141273">
        <w:t>)</w:t>
      </w:r>
      <w:r w:rsidR="003F7344">
        <w:t xml:space="preserve">. </w:t>
      </w:r>
      <w:r w:rsidR="00874891">
        <w:t xml:space="preserve">Such </w:t>
      </w:r>
      <w:r w:rsidR="00874891" w:rsidRPr="00874891">
        <w:t>cases are worth analyzing</w:t>
      </w:r>
      <w:r w:rsidR="00874891">
        <w:t xml:space="preserve"> since </w:t>
      </w:r>
      <w:r w:rsidR="003F7344" w:rsidRPr="00AC30F1">
        <w:rPr>
          <w:color w:val="000000" w:themeColor="text1"/>
        </w:rPr>
        <w:t xml:space="preserve">biological oscillators may be capable of showing robust homeostatic and adaptive </w:t>
      </w:r>
      <w:r w:rsidR="003F7344">
        <w:t xml:space="preserve">behaviors (Thorsen et al., 2014). In the presence of persistent oscillations, however, a steady-state measure such as CoRa cannot be implemented, because no steady state is reached. By not requiring convergence to a post-perturbation steady state, </w:t>
      </w:r>
      <w:proofErr w:type="spellStart"/>
      <w:r w:rsidR="003F7344">
        <w:t>CoRaDyn</w:t>
      </w:r>
      <w:proofErr w:type="spellEnd"/>
      <w:r w:rsidR="003F7344">
        <w:t xml:space="preserve"> instead allows persistent</w:t>
      </w:r>
      <w:r w:rsidR="00874891">
        <w:t xml:space="preserve"> </w:t>
      </w:r>
      <w:r w:rsidR="00874891" w:rsidRPr="00874891">
        <w:t>oscillations to be characterized.</w:t>
      </w:r>
    </w:p>
    <w:p w14:paraId="5F3C7479" w14:textId="77777777" w:rsidR="00E729B4" w:rsidRDefault="00E729B4">
      <w:pPr>
        <w:pStyle w:val="BodyText"/>
        <w:rPr>
          <w:b/>
          <w:bCs/>
        </w:rPr>
      </w:pPr>
      <w:proofErr w:type="spellStart"/>
      <w:r>
        <w:rPr>
          <w:b/>
          <w:bCs/>
        </w:rPr>
        <w:t>CoRaDyn</w:t>
      </w:r>
      <w:proofErr w:type="spellEnd"/>
      <w:r>
        <w:rPr>
          <w:b/>
          <w:bCs/>
        </w:rPr>
        <w:t xml:space="preserve"> enables comparisons across different parameter conditions and isolates the individual contributions of feedback components to a system's control capacity</w:t>
      </w:r>
    </w:p>
    <w:p w14:paraId="194410D3" w14:textId="77777777" w:rsidR="00A133E7" w:rsidRDefault="00A133E7" w:rsidP="00CF014E">
      <w:pPr>
        <w:pStyle w:val="BodyText"/>
      </w:pPr>
      <w:r w:rsidRPr="00A133E7">
        <w:t xml:space="preserve">The molecular PID system proposed by Chevalier et al. (2019) illustrates why considering the full perturbation response trajectory, rather than a single steady-state endpoint, matters when evaluating feedback control. The system consists of proportional (P), integral (I), and derivative (D) feedback modules whose relative contributions can be tuned through individual weights. Given that every parameter combination explored here drives the system to the same steady state or to sustained oscillations after a step perturbation, </w:t>
      </w:r>
      <w:proofErr w:type="spellStart"/>
      <w:r w:rsidRPr="00A133E7">
        <w:t>CoRa</w:t>
      </w:r>
      <w:proofErr w:type="spellEnd"/>
      <w:r w:rsidRPr="00A133E7">
        <w:t xml:space="preserve"> remains uninformative regardless of how much the proportional and derivative weights reshape the transient response. This is because it returns zero for every set of parameters that leads to adaptation, and becomes undefined whenever the system oscillates instead. </w:t>
      </w:r>
      <w:proofErr w:type="spellStart"/>
      <w:r w:rsidRPr="00A133E7">
        <w:t>CoRaDyn</w:t>
      </w:r>
      <w:proofErr w:type="spellEnd"/>
      <w:r w:rsidRPr="00A133E7">
        <w:t>, in contrast, detects differences in the perturbation response as different weights are assigned to the three modules (Fig. 3F). Because the effect of a given module, however, depends jointly on its own parameters and on those of the other modules, any single example like this one is highly dependent on the particular conditions evaluated, and extracting general trends instead requires a systematic exploration of the parameter space (Fig. 4).</w:t>
      </w:r>
    </w:p>
    <w:p w14:paraId="062128CF" w14:textId="5D2A4592" w:rsidR="0068394B" w:rsidRPr="0080682E" w:rsidRDefault="0068394B" w:rsidP="00421ED5">
      <w:pPr>
        <w:spacing w:before="240" w:after="240"/>
        <w:rPr>
          <w:rFonts w:asciiTheme="minorHAnsi" w:hAnsiTheme="minorHAnsi"/>
        </w:rPr>
      </w:pPr>
      <w:r w:rsidRPr="0080682E">
        <w:rPr>
          <w:rFonts w:asciiTheme="minorHAnsi" w:hAnsiTheme="minorHAnsi"/>
        </w:rPr>
        <w:t xml:space="preserve">Such systematic analysis is allowed by </w:t>
      </w:r>
      <w:proofErr w:type="spellStart"/>
      <w:r w:rsidRPr="0080682E">
        <w:rPr>
          <w:rFonts w:asciiTheme="minorHAnsi" w:hAnsiTheme="minorHAnsi"/>
        </w:rPr>
        <w:t>CoRaDyn</w:t>
      </w:r>
      <w:proofErr w:type="spellEnd"/>
      <w:r w:rsidRPr="0080682E">
        <w:rPr>
          <w:rFonts w:asciiTheme="minorHAnsi" w:hAnsiTheme="minorHAnsi"/>
        </w:rPr>
        <w:t>, and the resulting trends are broadly consistent with what is known about the PID system</w:t>
      </w:r>
      <w:r w:rsidR="00034D12" w:rsidRPr="0080682E">
        <w:rPr>
          <w:rFonts w:asciiTheme="minorHAnsi" w:hAnsiTheme="minorHAnsi"/>
        </w:rPr>
        <w:t xml:space="preserve"> </w:t>
      </w:r>
      <w:r w:rsidR="0058599F" w:rsidRPr="0058599F">
        <w:rPr>
          <w:rFonts w:asciiTheme="minorHAnsi" w:hAnsiTheme="minorHAnsi"/>
        </w:rPr>
        <w:t>studied by Chevalier et al. (2019)</w:t>
      </w:r>
      <w:r w:rsidRPr="0080682E">
        <w:rPr>
          <w:rFonts w:asciiTheme="minorHAnsi" w:hAnsiTheme="minorHAnsi"/>
        </w:rPr>
        <w:t xml:space="preserve">, while also providing additional nuance. Proportional control is known to increase the speed of the response, and accordingly, high proportional weights lower </w:t>
      </w:r>
      <w:proofErr w:type="spellStart"/>
      <w:r w:rsidRPr="0080682E">
        <w:rPr>
          <w:rFonts w:asciiTheme="minorHAnsi" w:hAnsiTheme="minorHAnsi"/>
        </w:rPr>
        <w:t>CoRaDyn</w:t>
      </w:r>
      <w:proofErr w:type="spellEnd"/>
      <w:r w:rsidRPr="0080682E">
        <w:rPr>
          <w:rFonts w:asciiTheme="minorHAnsi" w:hAnsiTheme="minorHAnsi"/>
        </w:rPr>
        <w:t xml:space="preserve"> values once the evaluation window is long enough to capture the reduced settling time. However, early in the response very high weights also increase </w:t>
      </w:r>
      <w:proofErr w:type="spellStart"/>
      <w:r w:rsidRPr="0080682E">
        <w:rPr>
          <w:rFonts w:asciiTheme="minorHAnsi" w:hAnsiTheme="minorHAnsi"/>
        </w:rPr>
        <w:t>CoRaDyn</w:t>
      </w:r>
      <w:proofErr w:type="spellEnd"/>
      <w:r w:rsidRPr="0080682E">
        <w:rPr>
          <w:rFonts w:asciiTheme="minorHAnsi" w:hAnsiTheme="minorHAnsi"/>
        </w:rPr>
        <w:t xml:space="preserve"> values, suggesting an increase in overshoot. The integral weight's median effect also reverses as the evaluation time increases. Strong integral action corrects deviations quickly at the outset, lowering </w:t>
      </w:r>
      <w:proofErr w:type="spellStart"/>
      <w:r w:rsidRPr="0080682E">
        <w:rPr>
          <w:rFonts w:asciiTheme="minorHAnsi" w:hAnsiTheme="minorHAnsi"/>
        </w:rPr>
        <w:t>CoRaDyn</w:t>
      </w:r>
      <w:proofErr w:type="spellEnd"/>
      <w:r w:rsidRPr="0080682E">
        <w:rPr>
          <w:rFonts w:asciiTheme="minorHAnsi" w:hAnsiTheme="minorHAnsi"/>
        </w:rPr>
        <w:t xml:space="preserve"> early on, but the same action can also enlarge the settling time or promote oscillatory behavior, thereby raising </w:t>
      </w:r>
      <w:proofErr w:type="spellStart"/>
      <w:r w:rsidRPr="0080682E">
        <w:rPr>
          <w:rFonts w:asciiTheme="minorHAnsi" w:hAnsiTheme="minorHAnsi"/>
        </w:rPr>
        <w:t>CoRaDyn</w:t>
      </w:r>
      <w:proofErr w:type="spellEnd"/>
      <w:r w:rsidRPr="0080682E">
        <w:rPr>
          <w:rFonts w:asciiTheme="minorHAnsi" w:hAnsiTheme="minorHAnsi"/>
        </w:rPr>
        <w:t xml:space="preserve"> once the evaluation window is long enough to capture this transition. Derivative control, on the other hand, is known to reduce overshoot and speed convergence to steady state, consistent with its dominant contribution during the initial stages of the response. However, only low weights continue to contribute non-negligibly to perturbation attenuation as time progresses, suggesting </w:t>
      </w:r>
      <w:r w:rsidRPr="0080682E">
        <w:rPr>
          <w:rFonts w:asciiTheme="minorHAnsi" w:hAnsiTheme="minorHAnsi"/>
        </w:rPr>
        <w:lastRenderedPageBreak/>
        <w:t xml:space="preserve">that its contribution to convergence speed is contextual. Together, while the trends observed for proportional and derivative control align with previous descriptions in the literature, none of the three control weights, proportional, integral, or derivative, improve the response </w:t>
      </w:r>
      <w:r w:rsidR="00EA18F7" w:rsidRPr="0080682E">
        <w:rPr>
          <w:rFonts w:asciiTheme="minorHAnsi" w:hAnsiTheme="minorHAnsi"/>
        </w:rPr>
        <w:t>monotonically</w:t>
      </w:r>
      <w:r w:rsidRPr="0080682E">
        <w:rPr>
          <w:rFonts w:asciiTheme="minorHAnsi" w:hAnsiTheme="minorHAnsi"/>
        </w:rPr>
        <w:t xml:space="preserve"> as they increase. Each instead has evaluation-time windows and parameter ranges over which its median contribution may </w:t>
      </w:r>
      <w:proofErr w:type="gramStart"/>
      <w:r w:rsidRPr="0080682E">
        <w:rPr>
          <w:rFonts w:asciiTheme="minorHAnsi" w:hAnsiTheme="minorHAnsi"/>
        </w:rPr>
        <w:t>be considered to be</w:t>
      </w:r>
      <w:proofErr w:type="gramEnd"/>
      <w:r w:rsidRPr="0080682E">
        <w:rPr>
          <w:rFonts w:asciiTheme="minorHAnsi" w:hAnsiTheme="minorHAnsi"/>
        </w:rPr>
        <w:t xml:space="preserve"> positive, negative, negligible, or to entail trade-offs.</w:t>
      </w:r>
    </w:p>
    <w:p w14:paraId="59B59985" w14:textId="48C2BC31" w:rsidR="00EA18F7" w:rsidRDefault="00EA18F7">
      <w:pPr>
        <w:pStyle w:val="BodyText"/>
      </w:pPr>
      <w:r w:rsidRPr="00EA18F7">
        <w:t xml:space="preserve">Beyond capturing how parameter variation reshapes the system's behavior, </w:t>
      </w:r>
      <w:proofErr w:type="spellStart"/>
      <w:r w:rsidRPr="00EA18F7">
        <w:t>CoRaDyn</w:t>
      </w:r>
      <w:proofErr w:type="spellEnd"/>
      <w:r w:rsidRPr="00EA18F7">
        <w:t xml:space="preserve"> can quantify the individual contributions of proportional and derivative control over time (Fig. 5E)</w:t>
      </w:r>
      <w:r>
        <w:t xml:space="preserve"> — </w:t>
      </w:r>
      <w:r w:rsidRPr="00EA18F7">
        <w:t xml:space="preserve">a capability proposed in the original </w:t>
      </w:r>
      <w:proofErr w:type="spellStart"/>
      <w:r w:rsidRPr="00EA18F7">
        <w:t>CoRa</w:t>
      </w:r>
      <w:proofErr w:type="spellEnd"/>
      <w:r w:rsidRPr="00EA18F7">
        <w:t xml:space="preserve"> paper but never demonstrated [REF: Gómez-Schiavon &amp; El-Samad, 2022]. Here we selectively disrupt the proportional and derivative feedback, both jointly and individually, and show that each can have qualitatively distinct, time-dependent effects on the response. </w:t>
      </w:r>
      <w:r w:rsidR="006B24D3" w:rsidRPr="006B24D3">
        <w:t>Interestingly, the temporal profiles of the systems individually lacking proportional or derivative feedback intersect, indicating that their relative contributions reverse over time, with derivative control contributing more at the response onset and proportional control contributing more at longer times.</w:t>
      </w:r>
      <w:r w:rsidRPr="00EA18F7">
        <w:t xml:space="preserve"> Moreover, at long evaluation times and for the chosen parametrization, disrupting proportional and derivative feedback simultaneously produces an effect approximately equal to the sum of their individually disrupted effects, consistent with what Chevalier et al. (2019) showed using adaptation time as a performance metric. This relationship, however, is not observed early in the response or under other parametrizations</w:t>
      </w:r>
      <w:r w:rsidR="006B24D3">
        <w:t xml:space="preserve"> </w:t>
      </w:r>
      <w:r w:rsidR="006B24D3" w:rsidRPr="00EA18F7">
        <w:t>(Supplementary Fig. X)</w:t>
      </w:r>
      <w:r w:rsidRPr="00EA18F7">
        <w:t>, indicating that the way proportional and derivative feedback jointly shape the response is itself time- and parameter-dependent</w:t>
      </w:r>
      <w:r w:rsidR="006B24D3">
        <w:t>.</w:t>
      </w:r>
    </w:p>
    <w:p w14:paraId="6AF3552E" w14:textId="5DDBF0E6" w:rsidR="00E80001" w:rsidRDefault="00000000">
      <w:pPr>
        <w:pStyle w:val="BodyText"/>
      </w:pPr>
      <w:r>
        <w:rPr>
          <w:b/>
          <w:bCs/>
        </w:rPr>
        <w:t>Broader implications and future directions</w:t>
      </w:r>
    </w:p>
    <w:p w14:paraId="1417A95E" w14:textId="7FF2B023" w:rsidR="00E80001" w:rsidRDefault="00000000">
      <w:pPr>
        <w:pStyle w:val="BodyText"/>
      </w:pPr>
      <w:r>
        <w:t xml:space="preserve">CoRaDyn broadens the class of biological questions that can be addressed through the mathematically controlled comparison of feedback systems. Its temporal profiles identify when feedback contributes to adaptation, how that contribution changes over the course of the response, and how the relative advantage of different feedback mechanisms shifts depending on the evaluation time considered. This perspective may be useful for systems in which transient dynamics are functionally important, including, for example, regulatory </w:t>
      </w:r>
      <w:r w:rsidRPr="002E7911">
        <w:t>processes in which the timing or amplitude of a response shapes downstream physiological outcomes.</w:t>
      </w:r>
    </w:p>
    <w:p w14:paraId="6AC944F3" w14:textId="03E12FDD" w:rsidR="00E80001" w:rsidRDefault="00000000">
      <w:pPr>
        <w:pStyle w:val="BodyText"/>
      </w:pPr>
      <w:r>
        <w:t>An important consequence of these results is that no single feedback architecture is likely to be optimal independently of the temporal objective under consideration. Different mechanisms contribute preferentially at different stages of the response, and the non-monotonic dependence of CoRaDyn on evaluation time shows that the apparent advantage of a feedback strategy can shift as the adaptation process unfolds. CoRaDyn makes these temporal trade-offs explicit rather than obscuring them in a single summary value.</w:t>
      </w:r>
    </w:p>
    <w:p w14:paraId="46671B42" w14:textId="2731C876" w:rsidR="00E80001" w:rsidRDefault="00000000">
      <w:pPr>
        <w:pStyle w:val="BodyText"/>
      </w:pPr>
      <w:r>
        <w:t>As with CoRa, the interpretation of a CoRaDyn value ultimately depends on the system</w:t>
      </w:r>
      <w:r w:rsidR="00DF57B7">
        <w:t xml:space="preserve"> being interrogated</w:t>
      </w:r>
      <w:r>
        <w:t xml:space="preserve">, its biological function, and the question motivating the analysis. A regulatory circuit that maintains distinct pH levels across the cytosol and other cellular compartments (Casey, Grinstein, &amp; Orlowski, 2010), for example, may exhibit low CoRaDyn values throughout the response, since minimizing deviations from its operating point is </w:t>
      </w:r>
      <w:r>
        <w:lastRenderedPageBreak/>
        <w:t>itself the relevant function. A circuit that regulates bacterial chemotaxis (Tu, 2013), in contrast, may exhibit high CoRaDyn values when evaluated at intermediate times. However, this does not signify inappropriate performance, but rather reflects a function that depends on a transient response with a substantial initial deviation. This context dependence is not a shortcoming of the metric but a structural feature of it, requiring the user to state explicitly what a well-adapted response should look like for the biological system under study.</w:t>
      </w:r>
    </w:p>
    <w:p w14:paraId="6A1BA9C3" w14:textId="2C35BA77" w:rsidR="00074F20" w:rsidRDefault="00074F20">
      <w:pPr>
        <w:pStyle w:val="BodyText"/>
      </w:pPr>
      <w:r>
        <w:t xml:space="preserve">The choice of evaluation time should likewise be treated as part of the definition of the control objective rather than as an arbitrary modeling choice. Candidates for </w:t>
      </w:r>
      <w:r w:rsidR="00AC30F1">
        <w:rPr>
          <w:color w:val="000000" w:themeColor="text1"/>
        </w:rPr>
        <w:t>$$</w:t>
      </w:r>
      <w:proofErr w:type="spellStart"/>
      <w:r w:rsidR="00AC30F1">
        <w:rPr>
          <w:color w:val="000000" w:themeColor="text1"/>
        </w:rPr>
        <w:t>t_n</w:t>
      </w:r>
      <w:proofErr w:type="spellEnd"/>
      <w:r w:rsidR="00AC30F1">
        <w:rPr>
          <w:color w:val="000000" w:themeColor="text1"/>
        </w:rPr>
        <w:t xml:space="preserve">$$ </w:t>
      </w:r>
      <w:r>
        <w:t xml:space="preserve">include the time by which the perturbing signal is expected to resolve or the timescale over which the biological process of interest normally unfolds (e.g., the duration of a relevant developmental or signaling window, or the timescale over which experimental measurements are available). However, </w:t>
      </w:r>
      <w:r w:rsidR="00DF57B7">
        <w:t xml:space="preserve">as shown, </w:t>
      </w:r>
      <w:r>
        <w:t xml:space="preserve">inspecting the full </w:t>
      </w:r>
      <w:proofErr w:type="spellStart"/>
      <w:r>
        <w:t>CoRaDyn</w:t>
      </w:r>
      <w:proofErr w:type="spellEnd"/>
      <w:r>
        <w:t xml:space="preserve"> temporal profile rather than committing to a single fixed evaluation time in advance may be more informative.</w:t>
      </w:r>
    </w:p>
    <w:p w14:paraId="1B907349" w14:textId="0593EB2B" w:rsidR="00E80001" w:rsidRDefault="00000000">
      <w:pPr>
        <w:pStyle w:val="BodyText"/>
      </w:pPr>
      <w:r>
        <w:t>Several extensions of this framework could further broaden its applicability. Incorporating stochastic dynamics would allow feedback contributions to be evaluated in systems where intrinsic and extrinsic fluctuations are central to the response. CoRaDyn could also be applied to more complex regulatory architectures, used to compare regulatory strategies across less theoretical biological systems, and applied to the systematic design or optimization of feedback strategies under explicitly defined temporal objectives. Additionally, although CoRaDyn does not require a post-perturbation steady state, it still depends on a pre-perturbation one, so it cannot currently be applied to biological oscillators that achieve homeostatic or adaptive behavior around a periodic rather than a stationary reference state (Thorsen et al., 2014). Thus, extending the locally analogous comparison framework to accommodate a periodic pre-perturbation state represents a further direction for future work.</w:t>
      </w:r>
    </w:p>
    <w:p w14:paraId="1A9F689C" w14:textId="38C0923E" w:rsidR="003974A9" w:rsidRDefault="003974A9">
      <w:pPr>
        <w:pStyle w:val="BodyText"/>
        <w:rPr>
          <w:b/>
          <w:bCs/>
        </w:rPr>
      </w:pPr>
      <w:r w:rsidRPr="003974A9">
        <w:rPr>
          <w:b/>
          <w:bCs/>
        </w:rPr>
        <w:t xml:space="preserve">Conclusion </w:t>
      </w:r>
    </w:p>
    <w:p w14:paraId="22F9243F" w14:textId="77777777" w:rsidR="00673206" w:rsidRDefault="00673206" w:rsidP="00673206">
      <w:pPr>
        <w:pStyle w:val="NormalWeb"/>
      </w:pPr>
      <w:r>
        <w:t xml:space="preserve">In summary, by comparing the full response trajectories of two otherwise identical systems that differ only in the presence of a given feedback interaction, rather than only relying on their final steady states, </w:t>
      </w:r>
      <w:proofErr w:type="spellStart"/>
      <w:r>
        <w:t>CoRaDyn</w:t>
      </w:r>
      <w:proofErr w:type="spellEnd"/>
      <w:r>
        <w:t xml:space="preserve"> captures information about feedback performance that </w:t>
      </w:r>
      <w:proofErr w:type="spellStart"/>
      <w:r>
        <w:t>CoRa</w:t>
      </w:r>
      <w:proofErr w:type="spellEnd"/>
      <w:r>
        <w:t xml:space="preserve"> does not consider by construction. This shift makes it possible to ask not only whether </w:t>
      </w:r>
      <w:proofErr w:type="gramStart"/>
      <w:r>
        <w:t>a given feedback</w:t>
      </w:r>
      <w:proofErr w:type="gramEnd"/>
      <w:r>
        <w:t xml:space="preserve"> matters for a system's return to its pre-perturbation steady state after a disturbance, but when it matters throughout the response, and whether trade-offs arise along the way. Accordingly, applied to a molecular PID controller, </w:t>
      </w:r>
      <w:proofErr w:type="spellStart"/>
      <w:r>
        <w:t>CoRaDyn</w:t>
      </w:r>
      <w:proofErr w:type="spellEnd"/>
      <w:r>
        <w:t xml:space="preserve"> was able to extract the individual effects of different feedback components on the system's transient behavior, capturing when each component contributes, how that contribution evolves over time, and where its effects trade off against those of the others. These are relevant capacities for evaluating systems where the path they take to recover from a perturbation is as physiologically consequential as the steady-state endpoint itself.</w:t>
      </w:r>
    </w:p>
    <w:p w14:paraId="4AF03B22" w14:textId="60AB5208" w:rsidR="00673206" w:rsidRDefault="00673206" w:rsidP="00673206">
      <w:pPr>
        <w:pStyle w:val="NormalWeb"/>
      </w:pPr>
      <w:r>
        <w:t>Beyond characterizing existing circuits, this temporal framework has a natural application in their design. As synthetic biology seeks specific transient behaviors</w:t>
      </w:r>
      <w:r>
        <w:t xml:space="preserve"> </w:t>
      </w:r>
      <w:r>
        <w:t xml:space="preserve">— such as a bounded </w:t>
      </w:r>
      <w:r>
        <w:lastRenderedPageBreak/>
        <w:t xml:space="preserve">overshoot, a </w:t>
      </w:r>
      <w:proofErr w:type="gramStart"/>
      <w:r>
        <w:t>fast settling</w:t>
      </w:r>
      <w:proofErr w:type="gramEnd"/>
      <w:r>
        <w:t xml:space="preserve"> time, or a sustained pulse</w:t>
      </w:r>
      <w:r>
        <w:t xml:space="preserve"> </w:t>
      </w:r>
      <w:r>
        <w:t xml:space="preserve">— rather than steady-state robustness alone, </w:t>
      </w:r>
      <w:proofErr w:type="spellStart"/>
      <w:r>
        <w:t>CoRaDyn</w:t>
      </w:r>
      <w:proofErr w:type="spellEnd"/>
      <w:r>
        <w:t xml:space="preserve"> offers a way to score candidate controller architectures against these temporal objectives and identify which parts of a circuit are responsible for a given behavior. As with </w:t>
      </w:r>
      <w:proofErr w:type="spellStart"/>
      <w:r>
        <w:t>CoRa</w:t>
      </w:r>
      <w:proofErr w:type="spellEnd"/>
      <w:r>
        <w:t xml:space="preserve">, however, corroborating </w:t>
      </w:r>
      <w:proofErr w:type="spellStart"/>
      <w:r>
        <w:t>CoRaDyn's</w:t>
      </w:r>
      <w:proofErr w:type="spellEnd"/>
      <w:r>
        <w:t xml:space="preserve"> findings experimentally remains challenging, since constructing the locally analogous, feedback-disrupted system is not trivial. It may nonetheless be feasible, as suggested by Gómez-Schiavon &amp; El-Samad (2022). Even so, this experimental caveat does not diminish </w:t>
      </w:r>
      <w:proofErr w:type="spellStart"/>
      <w:r>
        <w:t>CoRaDyn's</w:t>
      </w:r>
      <w:proofErr w:type="spellEnd"/>
      <w:r>
        <w:t xml:space="preserve"> conceptual contribution</w:t>
      </w:r>
      <w:r>
        <w:t>.</w:t>
      </w:r>
    </w:p>
    <w:p w14:paraId="7D1974AB" w14:textId="77777777" w:rsidR="00673206" w:rsidRDefault="00673206" w:rsidP="00673206">
      <w:pPr>
        <w:pStyle w:val="NormalWeb"/>
      </w:pPr>
      <w:r>
        <w:t xml:space="preserve">The biological consequences of feedback control cannot be fully understood by asking only whether a system returns to its pre-perturbation state. It also requires asking how it gets there, and </w:t>
      </w:r>
      <w:proofErr w:type="spellStart"/>
      <w:r>
        <w:t>CoRaDyn</w:t>
      </w:r>
      <w:proofErr w:type="spellEnd"/>
      <w:r>
        <w:t xml:space="preserve"> provides a systematic way to ask that question.</w:t>
      </w:r>
    </w:p>
    <w:p w14:paraId="18A62BA8" w14:textId="5E7B4B81" w:rsidR="006B24D3" w:rsidRDefault="006B24D3" w:rsidP="00D205DF">
      <w:pPr>
        <w:pStyle w:val="BodyText"/>
      </w:pPr>
    </w:p>
    <w:sectPr w:rsidR="006B24D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C0E07" w14:textId="77777777" w:rsidR="00467588" w:rsidRDefault="00467588">
      <w:r>
        <w:separator/>
      </w:r>
    </w:p>
  </w:endnote>
  <w:endnote w:type="continuationSeparator" w:id="0">
    <w:p w14:paraId="59FA20FC" w14:textId="77777777" w:rsidR="00467588" w:rsidRDefault="00467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0E299" w14:textId="77777777" w:rsidR="00467588" w:rsidRDefault="00467588">
      <w:r>
        <w:separator/>
      </w:r>
    </w:p>
  </w:footnote>
  <w:footnote w:type="continuationSeparator" w:id="0">
    <w:p w14:paraId="7B2033F6" w14:textId="77777777" w:rsidR="00467588" w:rsidRDefault="004675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AA38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11776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01"/>
    <w:rsid w:val="000050A6"/>
    <w:rsid w:val="00015504"/>
    <w:rsid w:val="00034D12"/>
    <w:rsid w:val="00061FB9"/>
    <w:rsid w:val="00074F20"/>
    <w:rsid w:val="00075E30"/>
    <w:rsid w:val="000762CF"/>
    <w:rsid w:val="000E0124"/>
    <w:rsid w:val="000F7901"/>
    <w:rsid w:val="00140F02"/>
    <w:rsid w:val="00141273"/>
    <w:rsid w:val="00150699"/>
    <w:rsid w:val="001B2806"/>
    <w:rsid w:val="001E2DF2"/>
    <w:rsid w:val="001F3581"/>
    <w:rsid w:val="00235E4C"/>
    <w:rsid w:val="002E2EE6"/>
    <w:rsid w:val="002E7911"/>
    <w:rsid w:val="003060ED"/>
    <w:rsid w:val="00330D13"/>
    <w:rsid w:val="003348D8"/>
    <w:rsid w:val="003974A9"/>
    <w:rsid w:val="003D02D0"/>
    <w:rsid w:val="003E31FE"/>
    <w:rsid w:val="003F7344"/>
    <w:rsid w:val="00414D62"/>
    <w:rsid w:val="00421ED5"/>
    <w:rsid w:val="00425A53"/>
    <w:rsid w:val="00433CC8"/>
    <w:rsid w:val="00452A72"/>
    <w:rsid w:val="004615E2"/>
    <w:rsid w:val="00467588"/>
    <w:rsid w:val="004B05D1"/>
    <w:rsid w:val="004C1651"/>
    <w:rsid w:val="00505B22"/>
    <w:rsid w:val="00545F96"/>
    <w:rsid w:val="00552EFB"/>
    <w:rsid w:val="005825C5"/>
    <w:rsid w:val="0058599F"/>
    <w:rsid w:val="005B1629"/>
    <w:rsid w:val="00605AC9"/>
    <w:rsid w:val="00636001"/>
    <w:rsid w:val="0065172A"/>
    <w:rsid w:val="00662E16"/>
    <w:rsid w:val="00673206"/>
    <w:rsid w:val="0068394B"/>
    <w:rsid w:val="006A716A"/>
    <w:rsid w:val="006B24D3"/>
    <w:rsid w:val="006D4D56"/>
    <w:rsid w:val="006D6DCC"/>
    <w:rsid w:val="006E5469"/>
    <w:rsid w:val="006F4ABA"/>
    <w:rsid w:val="00770925"/>
    <w:rsid w:val="0080682E"/>
    <w:rsid w:val="00825F9A"/>
    <w:rsid w:val="0085122F"/>
    <w:rsid w:val="008535D5"/>
    <w:rsid w:val="00865AC5"/>
    <w:rsid w:val="00874891"/>
    <w:rsid w:val="008900D6"/>
    <w:rsid w:val="00933671"/>
    <w:rsid w:val="00943DA2"/>
    <w:rsid w:val="0097372C"/>
    <w:rsid w:val="00980D5F"/>
    <w:rsid w:val="00992776"/>
    <w:rsid w:val="009E56C0"/>
    <w:rsid w:val="00A00AFB"/>
    <w:rsid w:val="00A133E7"/>
    <w:rsid w:val="00A42F53"/>
    <w:rsid w:val="00A509F4"/>
    <w:rsid w:val="00A85C3D"/>
    <w:rsid w:val="00A957B1"/>
    <w:rsid w:val="00AC30F1"/>
    <w:rsid w:val="00B25ADB"/>
    <w:rsid w:val="00B3019E"/>
    <w:rsid w:val="00B55CE9"/>
    <w:rsid w:val="00B602C8"/>
    <w:rsid w:val="00B64E05"/>
    <w:rsid w:val="00B86AE0"/>
    <w:rsid w:val="00BB38DF"/>
    <w:rsid w:val="00BB4375"/>
    <w:rsid w:val="00BC2CB8"/>
    <w:rsid w:val="00BF1EC2"/>
    <w:rsid w:val="00BF78EA"/>
    <w:rsid w:val="00C318FF"/>
    <w:rsid w:val="00C3222E"/>
    <w:rsid w:val="00C415E3"/>
    <w:rsid w:val="00C556F8"/>
    <w:rsid w:val="00C603EE"/>
    <w:rsid w:val="00CB20CA"/>
    <w:rsid w:val="00CF014E"/>
    <w:rsid w:val="00D1706B"/>
    <w:rsid w:val="00D205DF"/>
    <w:rsid w:val="00D51DCA"/>
    <w:rsid w:val="00D65AA6"/>
    <w:rsid w:val="00DF57B7"/>
    <w:rsid w:val="00E147C6"/>
    <w:rsid w:val="00E729B4"/>
    <w:rsid w:val="00E72A77"/>
    <w:rsid w:val="00E80001"/>
    <w:rsid w:val="00EA18F7"/>
    <w:rsid w:val="00EF0C0A"/>
    <w:rsid w:val="00F460CE"/>
    <w:rsid w:val="00FB3107"/>
    <w:rsid w:val="00FE673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F8DEC"/>
  <w15:docId w15:val="{99B708D9-2B31-794A-8E94-A7B2CA933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24D3"/>
    <w:pPr>
      <w:spacing w:after="0"/>
    </w:pPr>
    <w:rPr>
      <w:rFonts w:ascii="Times New Roman" w:eastAsia="Times New Roman" w:hAnsi="Times New Roman" w:cs="Times New Roman"/>
    </w:rPr>
  </w:style>
  <w:style w:type="paragraph" w:styleId="Heading1">
    <w:name w:val="heading 1"/>
    <w:basedOn w:val="Normal"/>
    <w:next w:val="BodyText"/>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rPr>
      <w:rFonts w:asciiTheme="minorHAnsi" w:eastAsiaTheme="minorHAnsi" w:hAnsiTheme="minorHAnsi" w:cstheme="minorBid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rFonts w:asciiTheme="minorHAnsi" w:eastAsiaTheme="minorHAnsi" w:hAnsiTheme="minorHAnsi" w:cstheme="minorBidi"/>
      <w:b/>
      <w:color w:val="345A8A"/>
      <w:sz w:val="20"/>
      <w:szCs w:val="20"/>
    </w:rPr>
  </w:style>
  <w:style w:type="paragraph" w:customStyle="1" w:styleId="Abstract">
    <w:name w:val="Abstract"/>
    <w:basedOn w:val="Normal"/>
    <w:next w:val="BodyText"/>
    <w:qFormat/>
    <w:pPr>
      <w:keepNext/>
      <w:keepLines/>
      <w:spacing w:before="100" w:after="300"/>
    </w:pPr>
    <w:rPr>
      <w:rFonts w:asciiTheme="minorHAnsi" w:eastAsiaTheme="minorHAnsi" w:hAnsiTheme="minorHAnsi" w:cstheme="minorBidi"/>
      <w:sz w:val="20"/>
      <w:szCs w:val="20"/>
    </w:rPr>
  </w:style>
  <w:style w:type="paragraph" w:styleId="Bibliography">
    <w:name w:val="Bibliography"/>
    <w:basedOn w:val="Normal"/>
    <w:qFormat/>
    <w:pPr>
      <w:spacing w:after="200"/>
    </w:pPr>
    <w:rPr>
      <w:rFonts w:asciiTheme="minorHAnsi" w:eastAsiaTheme="minorHAnsi" w:hAnsiTheme="minorHAnsi" w:cstheme="minorBidi"/>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200"/>
    </w:pPr>
    <w:rPr>
      <w:rFonts w:asciiTheme="minorHAnsi" w:eastAsiaTheme="minorHAnsi" w:hAnsiTheme="minorHAnsi" w:cstheme="minorBidi"/>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rFonts w:asciiTheme="minorHAnsi" w:eastAsiaTheme="minorHAnsi" w:hAnsiTheme="minorHAnsi" w:cstheme="minorBidi"/>
      <w:b/>
    </w:rPr>
  </w:style>
  <w:style w:type="paragraph" w:customStyle="1" w:styleId="Definition">
    <w:name w:val="Definition"/>
    <w:basedOn w:val="Normal"/>
    <w:pPr>
      <w:spacing w:after="200"/>
    </w:pPr>
    <w:rPr>
      <w:rFonts w:asciiTheme="minorHAnsi" w:eastAsiaTheme="minorHAnsi" w:hAnsiTheme="minorHAnsi" w:cstheme="minorBidi"/>
    </w:rPr>
  </w:style>
  <w:style w:type="paragraph" w:styleId="Caption">
    <w:name w:val="caption"/>
    <w:basedOn w:val="Normal"/>
    <w:link w:val="CaptionChar"/>
    <w:pPr>
      <w:spacing w:after="120"/>
    </w:pPr>
    <w:rPr>
      <w:rFonts w:asciiTheme="minorHAnsi" w:eastAsiaTheme="minorHAnsi" w:hAnsiTheme="minorHAnsi" w:cstheme="minorBidi"/>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spacing w:after="200"/>
    </w:pPr>
    <w:rPr>
      <w:rFonts w:asciiTheme="minorHAnsi" w:eastAsiaTheme="minorHAnsi" w:hAnsiTheme="minorHAnsi" w:cstheme="minorBidi"/>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after="200"/>
    </w:pPr>
    <w:rPr>
      <w:rFonts w:asciiTheme="minorHAnsi" w:eastAsiaTheme="minorHAnsi" w:hAnsiTheme="minorHAnsi" w:cstheme="minorBidi"/>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150699"/>
    <w:pPr>
      <w:spacing w:before="100" w:beforeAutospacing="1" w:after="100" w:afterAutospacing="1"/>
    </w:pPr>
  </w:style>
  <w:style w:type="character" w:styleId="CommentReference">
    <w:name w:val="annotation reference"/>
    <w:basedOn w:val="DefaultParagraphFont"/>
    <w:rsid w:val="008900D6"/>
    <w:rPr>
      <w:sz w:val="16"/>
      <w:szCs w:val="16"/>
    </w:rPr>
  </w:style>
  <w:style w:type="paragraph" w:styleId="CommentText">
    <w:name w:val="annotation text"/>
    <w:basedOn w:val="Normal"/>
    <w:link w:val="CommentTextChar"/>
    <w:rsid w:val="008900D6"/>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8900D6"/>
    <w:rPr>
      <w:sz w:val="20"/>
      <w:szCs w:val="20"/>
    </w:rPr>
  </w:style>
  <w:style w:type="paragraph" w:styleId="CommentSubject">
    <w:name w:val="annotation subject"/>
    <w:basedOn w:val="CommentText"/>
    <w:next w:val="CommentText"/>
    <w:link w:val="CommentSubjectChar"/>
    <w:rsid w:val="008900D6"/>
    <w:rPr>
      <w:b/>
      <w:bCs/>
    </w:rPr>
  </w:style>
  <w:style w:type="character" w:customStyle="1" w:styleId="CommentSubjectChar">
    <w:name w:val="Comment Subject Char"/>
    <w:basedOn w:val="CommentTextChar"/>
    <w:link w:val="CommentSubject"/>
    <w:rsid w:val="008900D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516</TotalTime>
  <Pages>5</Pages>
  <Words>2171</Words>
  <Characters>12378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Tamayo Luisce</dc:creator>
  <cp:keywords/>
  <cp:lastModifiedBy>Athena Tamayo Luisce</cp:lastModifiedBy>
  <cp:revision>40</cp:revision>
  <dcterms:created xsi:type="dcterms:W3CDTF">2026-08-23T02:40:00Z</dcterms:created>
  <dcterms:modified xsi:type="dcterms:W3CDTF">2026-08-27T23:21:00Z</dcterms:modified>
</cp:coreProperties>
</file>