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Software Engineering - Lab 3</w:t>
      </w:r>
    </w:p>
    <w:p>
      <w:pPr>
        <w:jc w:val="center"/>
      </w:pPr>
      <w:r>
        <w:rPr>
          <w:b/>
          <w:sz w:val="22"/>
        </w:rPr>
        <w:t>Component Modelling &amp; Architectural Pattern Selection - CACTE</w:t>
      </w:r>
    </w:p>
    <w:p>
      <w:pPr>
        <w:jc w:val="center"/>
      </w:pPr>
      <w:r>
        <w:rPr>
          <w:sz w:val="18"/>
        </w:rPr>
        <w:t>Name: Bhuvan M S    |    SRN: PES2UG24CS116    |    Sem: CSE 5B</w:t>
      </w:r>
    </w:p>
    <w:p>
      <w:pPr>
        <w:spacing w:after="40"/>
      </w:pPr>
      <w:r>
        <w:rPr>
          <w:sz w:val="10"/>
        </w:rPr>
        <w:t>___________________________________________________________________________________________________________________</w:t>
      </w:r>
    </w:p>
    <w:p>
      <w:pPr>
        <w:spacing w:before="60" w:after="40"/>
      </w:pPr>
      <w:r>
        <w:rPr>
          <w:b/>
          <w:sz w:val="21"/>
        </w:rPr>
        <w:t>Architecture Selection</w:t>
      </w:r>
    </w:p>
    <w:p>
      <w:pPr>
        <w:spacing w:after="40"/>
      </w:pPr>
      <w:r>
        <w:rPr>
          <w:b/>
        </w:rPr>
        <w:t>We chose Microservices Architecture for the Centralized Audit Trail Compliance Engine (CACTE).</w:t>
      </w:r>
    </w:p>
    <w:p>
      <w:pPr>
        <w:spacing w:after="60"/>
        <w:ind w:left="216"/>
      </w:pPr>
      <w:r>
        <w:rPr>
          <w:b/>
        </w:rPr>
        <w:t xml:space="preserve">Architectural choice and scenario fit: </w:t>
      </w:r>
      <w:r>
        <w:t>CACTE contains distinct responsibilities reflected in Lab 2, including audit-log ingestion and PII masking, hash-chain integrity, role-based access control, query performance at scale, durable storage/replication, and export/alerting. A microservices structure keeps these responsibilities modular and independently deployable.</w:t>
      </w:r>
    </w:p>
    <w:p>
      <w:pPr>
        <w:spacing w:before="40" w:after="40"/>
      </w:pPr>
      <w:r>
        <w:rPr>
          <w:b/>
          <w:sz w:val="21"/>
        </w:rPr>
        <w:t>Two Scenario-Specific Reasons</w:t>
      </w:r>
    </w:p>
    <w:p>
      <w:pPr>
        <w:spacing w:after="40"/>
        <w:ind w:left="331" w:hanging="187"/>
      </w:pPr>
      <w:r>
        <w:rPr>
          <w:b/>
        </w:rPr>
        <w:t xml:space="preserve">• </w:t>
      </w:r>
      <w:r>
        <w:t>Independent scaling and performance: the Query Service can scale separately from ingestion and storage, matching the Lab 2 focus on query performance at scale and avoiding unnecessary scaling of unrelated functions.</w:t>
      </w:r>
    </w:p>
    <w:p>
      <w:pPr>
        <w:spacing w:after="40"/>
        <w:ind w:left="331" w:hanging="187"/>
      </w:pPr>
      <w:r>
        <w:rPr>
          <w:b/>
        </w:rPr>
        <w:t xml:space="preserve">• </w:t>
      </w:r>
      <w:r>
        <w:t>Fault isolation and durability: ingestion, hash-chain processing, access control, and persistence can be isolated into separate services, supporting CACTE's durability/replication and integrity requirements while reducing the impact of a single component failure.</w:t>
      </w:r>
    </w:p>
    <w:p>
      <w:pPr>
        <w:spacing w:before="40" w:after="40"/>
      </w:pPr>
      <w:r>
        <w:rPr>
          <w:b/>
          <w:sz w:val="21"/>
        </w:rPr>
        <w:t>Security Advantage</w:t>
      </w:r>
    </w:p>
    <w:p>
      <w:pPr>
        <w:spacing w:after="60"/>
      </w:pPr>
      <w:r>
        <w:rPr>
          <w:b/>
        </w:rPr>
        <w:t xml:space="preserve">Security is enforced close to the data path: </w:t>
      </w:r>
      <w:r>
        <w:t>PII Masking removes sensitive fields during ingestion, while the Access Control/RBAC Service controls protected audit-data access. Hash Chain Integrity adds tamper-evidence to audit records. Separating these controls also limits the security impact of compromise in a single service.</w:t>
      </w:r>
    </w:p>
    <w:p>
      <w:pPr>
        <w:spacing w:before="40" w:after="40"/>
      </w:pPr>
      <w:r>
        <w:rPr>
          <w:b/>
          <w:sz w:val="21"/>
        </w:rPr>
        <w:t>Performance Benefit</w:t>
      </w:r>
    </w:p>
    <w:p>
      <w:pPr>
        <w:spacing w:after="60"/>
      </w:pPr>
      <w:r>
        <w:rPr>
          <w:b/>
        </w:rPr>
        <w:t xml:space="preserve">Performance benefits come from independent scaling and specialized processing: </w:t>
      </w:r>
      <w:r>
        <w:t>the Query Service can use indexed/read-optimized storage without slowing ingestion, while ingestion and hashing can process incoming audit events continuously. This directly supports the Lab 2 emphasis on query performance and sustained throughput.</w:t>
      </w:r>
    </w:p>
    <w:p>
      <w:pPr>
        <w:spacing w:before="40" w:after="40"/>
      </w:pPr>
      <w:r>
        <w:rPr>
          <w:b/>
          <w:sz w:val="21"/>
        </w:rPr>
        <w:t>CACTE Components and Key Interfaces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Component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Responsibility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Key interface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 Ingestion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Receives structured audit events and validates input.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Ingestion API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PII Masking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Masks protected/PII fields before persistence.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Masking API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Hash Chain Integrity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Computes/verifies chained hashes for tamper evidence.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Hash Integrity API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Access Control / RBAC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Authorizes access to audit data.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Authorization API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Query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Executes filtered/search queries over audit data.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 Query API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Durable Audit Store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Persists audit records with replication/durability.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Storage Interface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Alerting &amp; Export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Produces alerts and controlled audit exports.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Export/Alert API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>Lab 3 - CACTE Component Modelling | PES2UG24CS116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