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BD7" w:rsidRPr="00784A39" w:rsidRDefault="00815BD7" w:rsidP="00815BD7">
      <w:pPr>
        <w:pStyle w:val="a3"/>
        <w:spacing w:before="0" w:beforeAutospacing="0" w:after="0" w:afterAutospacing="0"/>
        <w:ind w:firstLine="567"/>
        <w:jc w:val="both"/>
        <w:rPr>
          <w:b/>
          <w:bCs/>
        </w:rPr>
      </w:pPr>
      <w:r>
        <w:rPr>
          <w:b/>
          <w:bCs/>
          <w:szCs w:val="27"/>
        </w:rPr>
        <w:t>Р</w:t>
      </w:r>
      <w:r w:rsidR="00784A39">
        <w:rPr>
          <w:b/>
          <w:bCs/>
          <w:szCs w:val="27"/>
        </w:rPr>
        <w:t>азработка диаграмм компонентов и развертывания</w:t>
      </w:r>
    </w:p>
    <w:p w:rsidR="00815BD7" w:rsidRDefault="00815BD7" w:rsidP="00815BD7">
      <w:pPr>
        <w:pStyle w:val="a3"/>
        <w:spacing w:before="0" w:beforeAutospacing="0" w:after="0" w:afterAutospacing="0"/>
        <w:ind w:firstLine="567"/>
        <w:jc w:val="both"/>
      </w:pPr>
      <w:r>
        <w:t xml:space="preserve">Диаграмма компонентов является частью физического представления модели и играет важную роль в процессе ООАП. Активизация диаграммы компонентов может быть выполнена одним из следующих способов: </w:t>
      </w:r>
    </w:p>
    <w:p w:rsidR="00815BD7" w:rsidRDefault="00815BD7" w:rsidP="00815BD7">
      <w:pPr>
        <w:numPr>
          <w:ilvl w:val="0"/>
          <w:numId w:val="2"/>
        </w:numPr>
        <w:jc w:val="both"/>
      </w:pPr>
      <w:r>
        <w:t xml:space="preserve">Щелкнуть на кнопке с изображением диаграммы компонентов на стандартной панели инструментов. </w:t>
      </w:r>
    </w:p>
    <w:p w:rsidR="00815BD7" w:rsidRDefault="00815BD7" w:rsidP="00815BD7">
      <w:pPr>
        <w:numPr>
          <w:ilvl w:val="0"/>
          <w:numId w:val="2"/>
        </w:numPr>
        <w:jc w:val="both"/>
      </w:pPr>
      <w:r>
        <w:t>Раскрыть компонентное представление в браузере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и дважды щелкнуть на пиктограмме </w:t>
      </w:r>
      <w:proofErr w:type="spellStart"/>
      <w:r>
        <w:t>Main</w:t>
      </w:r>
      <w:proofErr w:type="spellEnd"/>
      <w:r>
        <w:t xml:space="preserve"> (</w:t>
      </w:r>
      <w:proofErr w:type="gramStart"/>
      <w:r>
        <w:t>Главная</w:t>
      </w:r>
      <w:proofErr w:type="gramEnd"/>
      <w:r>
        <w:t xml:space="preserve">). </w:t>
      </w:r>
    </w:p>
    <w:p w:rsidR="00815BD7" w:rsidRDefault="00815BD7" w:rsidP="00815BD7">
      <w:pPr>
        <w:numPr>
          <w:ilvl w:val="0"/>
          <w:numId w:val="2"/>
        </w:numPr>
        <w:jc w:val="both"/>
      </w:pPr>
      <w:r>
        <w:t xml:space="preserve">Через пункт меню </w:t>
      </w:r>
      <w:r>
        <w:rPr>
          <w:lang w:val="en-US"/>
        </w:rPr>
        <w:t>Browse</w:t>
      </w:r>
      <w:r>
        <w:t xml:space="preserve"> -&gt; </w:t>
      </w:r>
      <w:r>
        <w:rPr>
          <w:lang w:val="en-US"/>
        </w:rPr>
        <w:t>Component</w:t>
      </w:r>
      <w:r>
        <w:t xml:space="preserve"> </w:t>
      </w:r>
      <w:r>
        <w:rPr>
          <w:lang w:val="en-US"/>
        </w:rPr>
        <w:t>Diagram</w:t>
      </w:r>
      <w:r>
        <w:t xml:space="preserve"> (Браузер -&gt; Диаграмма компонентов). </w:t>
      </w:r>
    </w:p>
    <w:p w:rsidR="00815BD7" w:rsidRPr="00760F12" w:rsidRDefault="00815BD7" w:rsidP="00815BD7">
      <w:pPr>
        <w:pStyle w:val="a3"/>
        <w:spacing w:before="0" w:beforeAutospacing="0" w:after="0" w:afterAutospacing="0"/>
        <w:ind w:firstLine="567"/>
        <w:jc w:val="both"/>
      </w:pPr>
      <w:r>
        <w:t xml:space="preserve">После активизации диаграммы компонентов специальная панель инструментов приобретет следующий вид (рис. 18). </w:t>
      </w:r>
    </w:p>
    <w:p w:rsidR="00815BD7" w:rsidRDefault="00815BD7" w:rsidP="00815BD7">
      <w:pPr>
        <w:ind w:firstLine="567"/>
        <w:jc w:val="center"/>
      </w:pPr>
      <w:r>
        <w:rPr>
          <w:noProof/>
        </w:rPr>
        <w:drawing>
          <wp:inline distT="0" distB="0" distL="0" distR="0">
            <wp:extent cx="3286125" cy="297180"/>
            <wp:effectExtent l="0" t="0" r="9525" b="7620"/>
            <wp:docPr id="4" name="Рисунок 4" descr="\\Richter\d$\bonk\Docs\e-bookz\ProgTechnology\UML\UML Book (rus)\gl12\gl12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Richter\d$\bonk\Docs\e-bookz\ProgTechnology\UML\UML Book (rus)\gl12\gl12-18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F0" w:rsidRDefault="00815BD7" w:rsidP="00F00AF0">
      <w:pPr>
        <w:pStyle w:val="a3"/>
        <w:spacing w:before="0" w:beforeAutospacing="0" w:after="0" w:afterAutospacing="0"/>
        <w:ind w:firstLine="709"/>
        <w:jc w:val="both"/>
        <w:rPr>
          <w:sz w:val="20"/>
        </w:rPr>
      </w:pPr>
      <w:r>
        <w:rPr>
          <w:bCs/>
          <w:sz w:val="20"/>
        </w:rPr>
        <w:t>Рис. 18.</w:t>
      </w:r>
      <w:r>
        <w:rPr>
          <w:sz w:val="20"/>
        </w:rPr>
        <w:t xml:space="preserve"> Внешний вид специальной панели инструментов для диаграммы компонентов</w:t>
      </w:r>
    </w:p>
    <w:p w:rsidR="00F00AF0" w:rsidRDefault="00F00AF0" w:rsidP="00F00AF0">
      <w:pPr>
        <w:pStyle w:val="a3"/>
        <w:spacing w:before="0" w:beforeAutospacing="0" w:after="0" w:afterAutospacing="0"/>
        <w:ind w:firstLine="709"/>
        <w:jc w:val="both"/>
        <w:rPr>
          <w:sz w:val="20"/>
        </w:rPr>
      </w:pPr>
    </w:p>
    <w:p w:rsidR="00815BD7" w:rsidRDefault="00815BD7" w:rsidP="00F00AF0">
      <w:pPr>
        <w:pStyle w:val="a3"/>
        <w:spacing w:before="0" w:beforeAutospacing="0" w:after="0" w:afterAutospacing="0"/>
        <w:ind w:firstLine="709"/>
        <w:jc w:val="both"/>
      </w:pPr>
      <w:r>
        <w:t xml:space="preserve">Добавление и удаление элементов происходит аналогично, однако для каждого компонента можно определить различные детали, такие как стереотип, язык программирования, декларации, классы. Работа с этими деталями компонентов осуществляется через спецификацию компонента, доступную после вызова контекстного меню. </w:t>
      </w:r>
    </w:p>
    <w:p w:rsidR="00815BD7" w:rsidRDefault="00815BD7" w:rsidP="00F00AF0">
      <w:pPr>
        <w:pStyle w:val="a3"/>
        <w:spacing w:before="0" w:beforeAutospacing="0" w:after="0" w:afterAutospacing="0"/>
        <w:ind w:firstLine="709"/>
        <w:jc w:val="both"/>
      </w:pPr>
      <w:r>
        <w:t xml:space="preserve">Ниже приводится пример графического изображения элементов диаграммы компонентов (рис. 19). </w:t>
      </w:r>
    </w:p>
    <w:p w:rsidR="00815BD7" w:rsidRDefault="00815BD7" w:rsidP="00F00AF0">
      <w:pPr>
        <w:pStyle w:val="a3"/>
        <w:spacing w:before="0" w:beforeAutospacing="0" w:after="0" w:afterAutospacing="0"/>
        <w:ind w:firstLine="709"/>
        <w:jc w:val="both"/>
      </w:pPr>
      <w:r>
        <w:t>При работе с диаграммой компонентов можно создавать пакеты и компоненты, изменять их спецификацию и зависимости между различными элементами диаграммы. При установлении реализации классов на компоненте можно выделить кла</w:t>
      </w:r>
      <w:proofErr w:type="gramStart"/>
      <w:r>
        <w:t>сс в бр</w:t>
      </w:r>
      <w:proofErr w:type="gramEnd"/>
      <w:r>
        <w:t xml:space="preserve">аузере и перетащить его на нужный компонент диаграммы. </w:t>
      </w:r>
    </w:p>
    <w:p w:rsidR="00815BD7" w:rsidRDefault="00815BD7" w:rsidP="00815BD7">
      <w:pPr>
        <w:ind w:firstLine="567"/>
        <w:jc w:val="center"/>
      </w:pPr>
      <w:r>
        <w:rPr>
          <w:noProof/>
        </w:rPr>
        <w:drawing>
          <wp:inline distT="0" distB="0" distL="0" distR="0">
            <wp:extent cx="4760595" cy="3388995"/>
            <wp:effectExtent l="0" t="0" r="1905" b="1905"/>
            <wp:docPr id="3" name="Рисунок 3" descr="\\Richter\d$\bonk\Docs\e-bookz\ProgTechnology\UML\UML Book (rus)\gl12\gl12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Richter\d$\bonk\Docs\e-bookz\ProgTechnology\UML\UML Book (rus)\gl12\gl12-19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D7" w:rsidRDefault="00815BD7" w:rsidP="00815BD7">
      <w:pPr>
        <w:pStyle w:val="a3"/>
        <w:spacing w:before="0" w:beforeAutospacing="0" w:after="0" w:afterAutospacing="0"/>
        <w:ind w:firstLine="567"/>
        <w:jc w:val="center"/>
        <w:rPr>
          <w:sz w:val="20"/>
        </w:rPr>
      </w:pPr>
      <w:r>
        <w:rPr>
          <w:bCs/>
          <w:sz w:val="20"/>
        </w:rPr>
        <w:t>Рис. 19.</w:t>
      </w:r>
      <w:r>
        <w:rPr>
          <w:sz w:val="20"/>
        </w:rPr>
        <w:t xml:space="preserve"> Пример графического изображения диаграммы компонентов</w:t>
      </w:r>
    </w:p>
    <w:p w:rsidR="00815BD7" w:rsidRPr="00760F12" w:rsidRDefault="00815BD7" w:rsidP="00815BD7">
      <w:pPr>
        <w:pStyle w:val="a3"/>
        <w:spacing w:before="0" w:beforeAutospacing="0" w:after="0" w:afterAutospacing="0"/>
        <w:ind w:firstLine="567"/>
        <w:jc w:val="both"/>
        <w:rPr>
          <w:szCs w:val="27"/>
        </w:rPr>
      </w:pPr>
    </w:p>
    <w:p w:rsidR="00815BD7" w:rsidRDefault="00815BD7" w:rsidP="00815BD7">
      <w:pPr>
        <w:pStyle w:val="a3"/>
        <w:spacing w:before="0" w:beforeAutospacing="0" w:after="0" w:afterAutospacing="0"/>
        <w:ind w:firstLine="567"/>
        <w:jc w:val="both"/>
        <w:rPr>
          <w:b/>
          <w:bCs/>
        </w:rPr>
      </w:pPr>
      <w:r>
        <w:rPr>
          <w:b/>
          <w:bCs/>
          <w:szCs w:val="27"/>
        </w:rPr>
        <w:t xml:space="preserve">Разработка диаграммы развертывания </w:t>
      </w:r>
    </w:p>
    <w:p w:rsidR="00815BD7" w:rsidRDefault="00815BD7" w:rsidP="00815BD7">
      <w:pPr>
        <w:pStyle w:val="a3"/>
        <w:spacing w:before="0" w:beforeAutospacing="0" w:after="0" w:afterAutospacing="0"/>
        <w:ind w:firstLine="567"/>
        <w:jc w:val="both"/>
      </w:pPr>
      <w:r>
        <w:t xml:space="preserve">Диаграмма развертывания является второй составной частью физического представления модели. Активизация диаграммы развертывания может быть выполнена одним из следующих способов: </w:t>
      </w:r>
    </w:p>
    <w:p w:rsidR="00815BD7" w:rsidRDefault="00815BD7" w:rsidP="00815BD7">
      <w:pPr>
        <w:numPr>
          <w:ilvl w:val="0"/>
          <w:numId w:val="2"/>
        </w:numPr>
        <w:jc w:val="both"/>
      </w:pPr>
      <w:r>
        <w:lastRenderedPageBreak/>
        <w:t xml:space="preserve">Щелкнуть на кнопке с изображением диаграммы развертывания на стандартной панели инструментов. </w:t>
      </w:r>
    </w:p>
    <w:p w:rsidR="00815BD7" w:rsidRDefault="00815BD7" w:rsidP="00815BD7">
      <w:pPr>
        <w:numPr>
          <w:ilvl w:val="0"/>
          <w:numId w:val="2"/>
        </w:numPr>
        <w:jc w:val="both"/>
      </w:pPr>
      <w:r>
        <w:t>Дважды щелкнуть на пиктограмме представления развертывания в браузере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). </w:t>
      </w:r>
    </w:p>
    <w:p w:rsidR="00815BD7" w:rsidRDefault="00815BD7" w:rsidP="00815BD7">
      <w:pPr>
        <w:numPr>
          <w:ilvl w:val="0"/>
          <w:numId w:val="2"/>
        </w:numPr>
        <w:jc w:val="both"/>
      </w:pPr>
      <w:r>
        <w:t xml:space="preserve">Через пункт меню </w:t>
      </w:r>
      <w:r>
        <w:rPr>
          <w:lang w:val="en-US"/>
        </w:rPr>
        <w:t>Browse</w:t>
      </w:r>
      <w:r>
        <w:t xml:space="preserve"> -&gt; </w:t>
      </w:r>
      <w:r>
        <w:rPr>
          <w:lang w:val="en-US"/>
        </w:rPr>
        <w:t>Deployment</w:t>
      </w:r>
      <w:r>
        <w:t xml:space="preserve"> </w:t>
      </w:r>
      <w:r>
        <w:rPr>
          <w:lang w:val="en-US"/>
        </w:rPr>
        <w:t>Diagram</w:t>
      </w:r>
      <w:r>
        <w:t xml:space="preserve"> (Браузер -&gt; Диаграмма развертывания). </w:t>
      </w:r>
    </w:p>
    <w:p w:rsidR="00815BD7" w:rsidRDefault="00815BD7" w:rsidP="00815BD7">
      <w:pPr>
        <w:pStyle w:val="a3"/>
        <w:spacing w:before="0" w:beforeAutospacing="0" w:after="0" w:afterAutospacing="0"/>
        <w:ind w:firstLine="567"/>
        <w:jc w:val="both"/>
      </w:pPr>
      <w:r>
        <w:t xml:space="preserve">После активизации диаграммы развертывания специальная панель инструментов приобретет следующий вид (рис. 20). </w:t>
      </w:r>
    </w:p>
    <w:p w:rsidR="00815BD7" w:rsidRPr="00760F12" w:rsidRDefault="00815BD7" w:rsidP="00815BD7">
      <w:pPr>
        <w:ind w:firstLine="567"/>
        <w:jc w:val="center"/>
      </w:pPr>
    </w:p>
    <w:p w:rsidR="00815BD7" w:rsidRDefault="00815BD7" w:rsidP="00815BD7">
      <w:pPr>
        <w:ind w:firstLine="567"/>
        <w:jc w:val="center"/>
      </w:pPr>
      <w:r>
        <w:rPr>
          <w:noProof/>
        </w:rPr>
        <w:drawing>
          <wp:inline distT="0" distB="0" distL="0" distR="0">
            <wp:extent cx="1674495" cy="297180"/>
            <wp:effectExtent l="0" t="0" r="1905" b="7620"/>
            <wp:docPr id="2" name="Рисунок 2" descr="\\Richter\d$\bonk\Docs\e-bookz\ProgTechnology\UML\UML Book (rus)\gl12\gl12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Richter\d$\bonk\Docs\e-bookz\ProgTechnology\UML\UML Book (rus)\gl12\gl12-20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D7" w:rsidRPr="00760F12" w:rsidRDefault="00815BD7" w:rsidP="00815BD7">
      <w:pPr>
        <w:pStyle w:val="a3"/>
        <w:spacing w:before="0" w:beforeAutospacing="0" w:after="0" w:afterAutospacing="0"/>
        <w:jc w:val="center"/>
        <w:rPr>
          <w:sz w:val="20"/>
        </w:rPr>
      </w:pPr>
      <w:r>
        <w:rPr>
          <w:bCs/>
          <w:sz w:val="20"/>
        </w:rPr>
        <w:t>Рис. 20.</w:t>
      </w:r>
      <w:r>
        <w:rPr>
          <w:sz w:val="20"/>
        </w:rPr>
        <w:t xml:space="preserve"> Внешний вид специальной панели инструментов для диаграммы развертывания</w:t>
      </w:r>
    </w:p>
    <w:p w:rsidR="00815BD7" w:rsidRPr="00760F12" w:rsidRDefault="00815BD7" w:rsidP="00815BD7">
      <w:pPr>
        <w:pStyle w:val="a3"/>
        <w:spacing w:before="0" w:beforeAutospacing="0" w:after="0" w:afterAutospacing="0"/>
        <w:jc w:val="center"/>
        <w:rPr>
          <w:sz w:val="20"/>
        </w:rPr>
      </w:pPr>
    </w:p>
    <w:p w:rsidR="00815BD7" w:rsidRDefault="00815BD7" w:rsidP="00815BD7">
      <w:pPr>
        <w:pStyle w:val="a3"/>
        <w:spacing w:before="0" w:beforeAutospacing="0" w:after="0" w:afterAutospacing="0"/>
        <w:ind w:firstLine="567"/>
        <w:jc w:val="both"/>
      </w:pPr>
      <w:r>
        <w:t xml:space="preserve">Работа с диаграммой развертывания состоит в создании процессоров и устройств, их спецификации, установлении связей между ними, а также добавлении и спецификации процессов. Применительно к отдельным процессорам можно использовать стереотипы. </w:t>
      </w:r>
    </w:p>
    <w:p w:rsidR="00815BD7" w:rsidRDefault="00815BD7" w:rsidP="00815BD7">
      <w:pPr>
        <w:pStyle w:val="a3"/>
        <w:spacing w:before="0" w:beforeAutospacing="0" w:after="0" w:afterAutospacing="0"/>
        <w:ind w:firstLine="567"/>
        <w:jc w:val="both"/>
      </w:pPr>
      <w:r>
        <w:t xml:space="preserve">Ниже приводится пример графического изображения диаграммы развертывания (рис. 21). </w:t>
      </w:r>
    </w:p>
    <w:p w:rsidR="00815BD7" w:rsidRDefault="00815BD7" w:rsidP="00815BD7">
      <w:pPr>
        <w:ind w:firstLine="567"/>
        <w:jc w:val="center"/>
      </w:pPr>
      <w:r>
        <w:rPr>
          <w:noProof/>
        </w:rPr>
        <w:drawing>
          <wp:inline distT="0" distB="0" distL="0" distR="0">
            <wp:extent cx="4760595" cy="4000500"/>
            <wp:effectExtent l="0" t="0" r="1905" b="0"/>
            <wp:docPr id="1" name="Рисунок 1" descr="\\Richter\d$\bonk\Docs\e-bookz\ProgTechnology\UML\UML Book (rus)\gl12\gl12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Richter\d$\bonk\Docs\e-bookz\ProgTechnology\UML\UML Book (rus)\gl12\gl12-21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D7" w:rsidRPr="00760F12" w:rsidRDefault="00815BD7" w:rsidP="00815BD7">
      <w:pPr>
        <w:pStyle w:val="a3"/>
        <w:spacing w:before="0" w:beforeAutospacing="0" w:after="0" w:afterAutospacing="0"/>
        <w:ind w:firstLine="567"/>
        <w:jc w:val="center"/>
        <w:rPr>
          <w:sz w:val="20"/>
        </w:rPr>
      </w:pPr>
      <w:r>
        <w:rPr>
          <w:bCs/>
          <w:sz w:val="20"/>
        </w:rPr>
        <w:t>Рис. 21.</w:t>
      </w:r>
      <w:r>
        <w:rPr>
          <w:sz w:val="20"/>
        </w:rPr>
        <w:t xml:space="preserve"> Пример графического изображения диаграммы развертывания</w:t>
      </w:r>
    </w:p>
    <w:p w:rsidR="00815BD7" w:rsidRPr="00760F12" w:rsidRDefault="00815BD7" w:rsidP="00815BD7">
      <w:pPr>
        <w:pStyle w:val="a3"/>
        <w:spacing w:before="0" w:beforeAutospacing="0" w:after="0" w:afterAutospacing="0"/>
        <w:ind w:firstLine="567"/>
        <w:jc w:val="center"/>
        <w:rPr>
          <w:sz w:val="20"/>
        </w:rPr>
      </w:pPr>
    </w:p>
    <w:p w:rsidR="00815BD7" w:rsidRDefault="00815BD7" w:rsidP="00815BD7">
      <w:pPr>
        <w:pStyle w:val="a3"/>
        <w:spacing w:before="0" w:beforeAutospacing="0" w:after="0" w:afterAutospacing="0"/>
        <w:ind w:firstLine="567"/>
        <w:jc w:val="both"/>
      </w:pPr>
      <w:r>
        <w:t>Одним из наиболее мощных свой</w:t>
      </w:r>
      <w:proofErr w:type="gramStart"/>
      <w:r>
        <w:t>ств ср</w:t>
      </w:r>
      <w:proofErr w:type="gramEnd"/>
      <w:r>
        <w:t xml:space="preserve">еды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возможность генерации программного кода после построения модели. Возможность генерации текста программы на том или ином языке программирования зависит от установленной версии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. </w:t>
      </w:r>
    </w:p>
    <w:p w:rsidR="00815BD7" w:rsidRDefault="00815BD7" w:rsidP="00815BD7">
      <w:pPr>
        <w:pStyle w:val="a3"/>
        <w:spacing w:before="0" w:beforeAutospacing="0" w:after="0" w:afterAutospacing="0"/>
        <w:ind w:firstLine="567"/>
        <w:jc w:val="both"/>
      </w:pPr>
      <w:r>
        <w:t xml:space="preserve">Общая последовательность действий, которые необходимо выполнить для этого, состоит из шести этапов: </w:t>
      </w:r>
    </w:p>
    <w:p w:rsidR="00815BD7" w:rsidRDefault="00815BD7" w:rsidP="00815BD7">
      <w:pPr>
        <w:numPr>
          <w:ilvl w:val="0"/>
          <w:numId w:val="1"/>
        </w:numPr>
        <w:tabs>
          <w:tab w:val="left" w:pos="900"/>
        </w:tabs>
        <w:ind w:left="0" w:firstLine="567"/>
        <w:jc w:val="both"/>
      </w:pPr>
      <w:r>
        <w:t xml:space="preserve">Проверка модели независимо от выбора языка генерации кода. </w:t>
      </w:r>
    </w:p>
    <w:p w:rsidR="00815BD7" w:rsidRDefault="00815BD7" w:rsidP="00815BD7">
      <w:pPr>
        <w:numPr>
          <w:ilvl w:val="0"/>
          <w:numId w:val="1"/>
        </w:numPr>
        <w:tabs>
          <w:tab w:val="left" w:pos="900"/>
        </w:tabs>
        <w:ind w:left="0" w:firstLine="567"/>
        <w:jc w:val="both"/>
      </w:pPr>
      <w:r>
        <w:t xml:space="preserve">Создание компонентов для реализации классов. </w:t>
      </w:r>
    </w:p>
    <w:p w:rsidR="00815BD7" w:rsidRDefault="00815BD7" w:rsidP="00815BD7">
      <w:pPr>
        <w:numPr>
          <w:ilvl w:val="0"/>
          <w:numId w:val="1"/>
        </w:numPr>
        <w:tabs>
          <w:tab w:val="left" w:pos="900"/>
        </w:tabs>
        <w:ind w:left="0" w:firstLine="567"/>
        <w:jc w:val="both"/>
      </w:pPr>
      <w:r>
        <w:t xml:space="preserve">Отображение классов на компоненты. </w:t>
      </w:r>
    </w:p>
    <w:p w:rsidR="00815BD7" w:rsidRDefault="00815BD7" w:rsidP="00815BD7">
      <w:pPr>
        <w:numPr>
          <w:ilvl w:val="0"/>
          <w:numId w:val="1"/>
        </w:numPr>
        <w:tabs>
          <w:tab w:val="left" w:pos="900"/>
        </w:tabs>
        <w:ind w:left="0" w:firstLine="567"/>
        <w:jc w:val="both"/>
      </w:pPr>
      <w:r>
        <w:t xml:space="preserve">Установка свойств генерации программного кода. </w:t>
      </w:r>
    </w:p>
    <w:p w:rsidR="00815BD7" w:rsidRDefault="00815BD7" w:rsidP="00815BD7">
      <w:pPr>
        <w:numPr>
          <w:ilvl w:val="0"/>
          <w:numId w:val="1"/>
        </w:numPr>
        <w:tabs>
          <w:tab w:val="left" w:pos="900"/>
        </w:tabs>
        <w:ind w:left="0" w:firstLine="567"/>
        <w:jc w:val="both"/>
      </w:pPr>
      <w:r>
        <w:lastRenderedPageBreak/>
        <w:t xml:space="preserve">Выбор класса, компонента или пакета. </w:t>
      </w:r>
    </w:p>
    <w:p w:rsidR="00815BD7" w:rsidRDefault="00815BD7" w:rsidP="00815BD7">
      <w:pPr>
        <w:numPr>
          <w:ilvl w:val="0"/>
          <w:numId w:val="1"/>
        </w:numPr>
        <w:tabs>
          <w:tab w:val="left" w:pos="900"/>
        </w:tabs>
        <w:ind w:left="0" w:firstLine="567"/>
        <w:jc w:val="both"/>
      </w:pPr>
      <w:r>
        <w:t xml:space="preserve">Генерация программного кода. </w:t>
      </w:r>
    </w:p>
    <w:p w:rsidR="00815BD7" w:rsidRDefault="00815BD7" w:rsidP="00815BD7">
      <w:pPr>
        <w:ind w:firstLine="567"/>
        <w:jc w:val="both"/>
        <w:rPr>
          <w:bCs/>
        </w:rPr>
      </w:pPr>
      <w:r>
        <w:rPr>
          <w:bCs/>
        </w:rPr>
        <w:t xml:space="preserve">Особенности выполнения каждого из этапов могут изменяться в зависимости от выбора языка. </w:t>
      </w:r>
      <w:bookmarkStart w:id="0" w:name="_GoBack"/>
      <w:bookmarkEnd w:id="0"/>
    </w:p>
    <w:p w:rsidR="002A5BA8" w:rsidRDefault="002A5BA8"/>
    <w:sectPr w:rsidR="002A5BA8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D5C" w:rsidRDefault="00004D5C">
      <w:r>
        <w:separator/>
      </w:r>
    </w:p>
  </w:endnote>
  <w:endnote w:type="continuationSeparator" w:id="0">
    <w:p w:rsidR="00004D5C" w:rsidRDefault="0000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123" w:rsidRDefault="00784A39" w:rsidP="00A36DB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62123" w:rsidRDefault="00004D5C" w:rsidP="0046212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123" w:rsidRDefault="00784A39" w:rsidP="00A36DB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84029">
      <w:rPr>
        <w:rStyle w:val="a6"/>
        <w:noProof/>
      </w:rPr>
      <w:t>1</w:t>
    </w:r>
    <w:r>
      <w:rPr>
        <w:rStyle w:val="a6"/>
      </w:rPr>
      <w:fldChar w:fldCharType="end"/>
    </w:r>
  </w:p>
  <w:p w:rsidR="00462123" w:rsidRDefault="00004D5C" w:rsidP="0046212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D5C" w:rsidRDefault="00004D5C">
      <w:r>
        <w:separator/>
      </w:r>
    </w:p>
  </w:footnote>
  <w:footnote w:type="continuationSeparator" w:id="0">
    <w:p w:rsidR="00004D5C" w:rsidRDefault="00004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7032D"/>
    <w:multiLevelType w:val="hybridMultilevel"/>
    <w:tmpl w:val="4D3E9E8C"/>
    <w:lvl w:ilvl="0" w:tplc="F500B6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205DF6"/>
    <w:multiLevelType w:val="hybridMultilevel"/>
    <w:tmpl w:val="DD3C07AE"/>
    <w:lvl w:ilvl="0" w:tplc="FA983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2A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6F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400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EEF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CB1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A6B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AB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C85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D7"/>
    <w:rsid w:val="00004D5C"/>
    <w:rsid w:val="0002553E"/>
    <w:rsid w:val="00025FD0"/>
    <w:rsid w:val="000564CC"/>
    <w:rsid w:val="00056C00"/>
    <w:rsid w:val="00093B99"/>
    <w:rsid w:val="000B4EB6"/>
    <w:rsid w:val="000B6F86"/>
    <w:rsid w:val="000C1D38"/>
    <w:rsid w:val="000F7981"/>
    <w:rsid w:val="001107EF"/>
    <w:rsid w:val="0012249A"/>
    <w:rsid w:val="0014070A"/>
    <w:rsid w:val="00140D47"/>
    <w:rsid w:val="00146A79"/>
    <w:rsid w:val="001643F6"/>
    <w:rsid w:val="001767FC"/>
    <w:rsid w:val="001920C8"/>
    <w:rsid w:val="001A4485"/>
    <w:rsid w:val="001A65AD"/>
    <w:rsid w:val="001C7169"/>
    <w:rsid w:val="001E69C7"/>
    <w:rsid w:val="001F099E"/>
    <w:rsid w:val="001F1BDA"/>
    <w:rsid w:val="001F703D"/>
    <w:rsid w:val="0022751A"/>
    <w:rsid w:val="002A5BA8"/>
    <w:rsid w:val="002A76C2"/>
    <w:rsid w:val="002B1A02"/>
    <w:rsid w:val="002C583C"/>
    <w:rsid w:val="002D175E"/>
    <w:rsid w:val="002D5F99"/>
    <w:rsid w:val="002F743E"/>
    <w:rsid w:val="002F7D88"/>
    <w:rsid w:val="00306FB1"/>
    <w:rsid w:val="00320D5E"/>
    <w:rsid w:val="0032709B"/>
    <w:rsid w:val="00344A2F"/>
    <w:rsid w:val="00345A08"/>
    <w:rsid w:val="00375F29"/>
    <w:rsid w:val="003939EF"/>
    <w:rsid w:val="00393D82"/>
    <w:rsid w:val="003A3318"/>
    <w:rsid w:val="003A68AE"/>
    <w:rsid w:val="003B15CF"/>
    <w:rsid w:val="004012B5"/>
    <w:rsid w:val="0041623D"/>
    <w:rsid w:val="0043411D"/>
    <w:rsid w:val="00435FA6"/>
    <w:rsid w:val="00467B58"/>
    <w:rsid w:val="00486598"/>
    <w:rsid w:val="00494C16"/>
    <w:rsid w:val="004B43DD"/>
    <w:rsid w:val="004C5415"/>
    <w:rsid w:val="004C7108"/>
    <w:rsid w:val="004C71BE"/>
    <w:rsid w:val="004D52BF"/>
    <w:rsid w:val="004E2369"/>
    <w:rsid w:val="0050346A"/>
    <w:rsid w:val="0051667B"/>
    <w:rsid w:val="00522996"/>
    <w:rsid w:val="00532ADF"/>
    <w:rsid w:val="00543B1A"/>
    <w:rsid w:val="00550D10"/>
    <w:rsid w:val="00586BE4"/>
    <w:rsid w:val="0059014F"/>
    <w:rsid w:val="00593DC4"/>
    <w:rsid w:val="005B4B9E"/>
    <w:rsid w:val="005F28F7"/>
    <w:rsid w:val="005F749E"/>
    <w:rsid w:val="00601B14"/>
    <w:rsid w:val="006036AB"/>
    <w:rsid w:val="006075EF"/>
    <w:rsid w:val="00613AC7"/>
    <w:rsid w:val="006302B4"/>
    <w:rsid w:val="00634CD6"/>
    <w:rsid w:val="00642FCE"/>
    <w:rsid w:val="00652F62"/>
    <w:rsid w:val="006614D6"/>
    <w:rsid w:val="00670CF3"/>
    <w:rsid w:val="006A0668"/>
    <w:rsid w:val="006B568D"/>
    <w:rsid w:val="006B61E5"/>
    <w:rsid w:val="006C6BF4"/>
    <w:rsid w:val="006D30CB"/>
    <w:rsid w:val="006E1811"/>
    <w:rsid w:val="006E5849"/>
    <w:rsid w:val="006F4753"/>
    <w:rsid w:val="00716670"/>
    <w:rsid w:val="00723288"/>
    <w:rsid w:val="00735A66"/>
    <w:rsid w:val="00736346"/>
    <w:rsid w:val="00737049"/>
    <w:rsid w:val="007765D2"/>
    <w:rsid w:val="007768EC"/>
    <w:rsid w:val="00784A39"/>
    <w:rsid w:val="00791659"/>
    <w:rsid w:val="007A4147"/>
    <w:rsid w:val="007B2D3D"/>
    <w:rsid w:val="007B38CE"/>
    <w:rsid w:val="00804EA6"/>
    <w:rsid w:val="00813AF3"/>
    <w:rsid w:val="00815BD7"/>
    <w:rsid w:val="008419FC"/>
    <w:rsid w:val="008919E2"/>
    <w:rsid w:val="00893AB2"/>
    <w:rsid w:val="008962AE"/>
    <w:rsid w:val="008B498B"/>
    <w:rsid w:val="008C4DAE"/>
    <w:rsid w:val="008D3A22"/>
    <w:rsid w:val="008D4C93"/>
    <w:rsid w:val="008E448D"/>
    <w:rsid w:val="008F51A3"/>
    <w:rsid w:val="009074E9"/>
    <w:rsid w:val="00915B0F"/>
    <w:rsid w:val="0092368C"/>
    <w:rsid w:val="0093087F"/>
    <w:rsid w:val="00935EA0"/>
    <w:rsid w:val="00950145"/>
    <w:rsid w:val="00961053"/>
    <w:rsid w:val="00961D20"/>
    <w:rsid w:val="009A1CFA"/>
    <w:rsid w:val="009D2522"/>
    <w:rsid w:val="009E1D68"/>
    <w:rsid w:val="009E2B28"/>
    <w:rsid w:val="009E671E"/>
    <w:rsid w:val="00A07938"/>
    <w:rsid w:val="00A14465"/>
    <w:rsid w:val="00A24C3A"/>
    <w:rsid w:val="00A26A5A"/>
    <w:rsid w:val="00AA6BE8"/>
    <w:rsid w:val="00AB10A5"/>
    <w:rsid w:val="00AD672F"/>
    <w:rsid w:val="00AF0989"/>
    <w:rsid w:val="00B234A7"/>
    <w:rsid w:val="00B23F89"/>
    <w:rsid w:val="00B42758"/>
    <w:rsid w:val="00B47511"/>
    <w:rsid w:val="00B5702F"/>
    <w:rsid w:val="00B57A02"/>
    <w:rsid w:val="00B57F98"/>
    <w:rsid w:val="00B60A1B"/>
    <w:rsid w:val="00B777C8"/>
    <w:rsid w:val="00B94676"/>
    <w:rsid w:val="00BA0DCF"/>
    <w:rsid w:val="00BA1DC6"/>
    <w:rsid w:val="00BA628F"/>
    <w:rsid w:val="00BB2FAC"/>
    <w:rsid w:val="00BC3AE5"/>
    <w:rsid w:val="00BC60AB"/>
    <w:rsid w:val="00BE1D99"/>
    <w:rsid w:val="00BF5682"/>
    <w:rsid w:val="00C40ADA"/>
    <w:rsid w:val="00C5749C"/>
    <w:rsid w:val="00C81BEB"/>
    <w:rsid w:val="00CA2635"/>
    <w:rsid w:val="00CA6D31"/>
    <w:rsid w:val="00CC0300"/>
    <w:rsid w:val="00D25A2B"/>
    <w:rsid w:val="00D30E86"/>
    <w:rsid w:val="00D4552B"/>
    <w:rsid w:val="00D534F1"/>
    <w:rsid w:val="00D650C2"/>
    <w:rsid w:val="00D66857"/>
    <w:rsid w:val="00D67606"/>
    <w:rsid w:val="00D82BC4"/>
    <w:rsid w:val="00DA36BC"/>
    <w:rsid w:val="00DE27CF"/>
    <w:rsid w:val="00DE3CD1"/>
    <w:rsid w:val="00DF08A8"/>
    <w:rsid w:val="00E02A9D"/>
    <w:rsid w:val="00E251E7"/>
    <w:rsid w:val="00E27303"/>
    <w:rsid w:val="00E34BC7"/>
    <w:rsid w:val="00E358BC"/>
    <w:rsid w:val="00E448A2"/>
    <w:rsid w:val="00E4795A"/>
    <w:rsid w:val="00E858A9"/>
    <w:rsid w:val="00E90BA0"/>
    <w:rsid w:val="00E94810"/>
    <w:rsid w:val="00E96BEE"/>
    <w:rsid w:val="00EA0864"/>
    <w:rsid w:val="00EC3EDA"/>
    <w:rsid w:val="00EE1022"/>
    <w:rsid w:val="00EF08CA"/>
    <w:rsid w:val="00EF1832"/>
    <w:rsid w:val="00F00AF0"/>
    <w:rsid w:val="00F0225D"/>
    <w:rsid w:val="00F031C8"/>
    <w:rsid w:val="00F165E1"/>
    <w:rsid w:val="00F173BB"/>
    <w:rsid w:val="00F654FD"/>
    <w:rsid w:val="00F84029"/>
    <w:rsid w:val="00FA5A28"/>
    <w:rsid w:val="00FA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B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15BD7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815BD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815B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815BD7"/>
  </w:style>
  <w:style w:type="paragraph" w:styleId="a7">
    <w:name w:val="Balloon Text"/>
    <w:basedOn w:val="a"/>
    <w:link w:val="a8"/>
    <w:uiPriority w:val="99"/>
    <w:semiHidden/>
    <w:unhideWhenUsed/>
    <w:rsid w:val="00815B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5BD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B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15BD7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815BD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815B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815BD7"/>
  </w:style>
  <w:style w:type="paragraph" w:styleId="a7">
    <w:name w:val="Balloon Text"/>
    <w:basedOn w:val="a"/>
    <w:link w:val="a8"/>
    <w:uiPriority w:val="99"/>
    <w:semiHidden/>
    <w:unhideWhenUsed/>
    <w:rsid w:val="00815B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5BD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file:///\\Richter\d$\bonk\Docs\e-bookz\ProgTechnology\UML\UML%20Book%20(rus)\gl12\gl12-20.jp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file:///\\Richter\d$\bonk\Docs\e-bookz\ProgTechnology\UML\UML%20Book%20(rus)\gl12\gl12-19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\\Richter\d$\bonk\Docs\e-bookz\ProgTechnology\UML\UML%20Book%20(rus)\gl12\gl12-21.jpg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file:///\\Richter\d$\bonk\Docs\e-bookz\ProgTechnology\UML\UML%20Book%20(rus)\gl12\gl12-18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К_15</dc:creator>
  <cp:keywords/>
  <dc:description/>
  <cp:lastModifiedBy>К_15</cp:lastModifiedBy>
  <cp:revision>2</cp:revision>
  <dcterms:created xsi:type="dcterms:W3CDTF">2016-05-20T05:16:00Z</dcterms:created>
  <dcterms:modified xsi:type="dcterms:W3CDTF">2016-05-20T05:16:00Z</dcterms:modified>
</cp:coreProperties>
</file>