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viva-voce-questions-answers"/>
    <w:p>
      <w:pPr>
        <w:pStyle w:val="Heading1"/>
      </w:pPr>
      <w:r>
        <w:t xml:space="preserve">VIVA VOCE QUESTIONS &amp; ANSWERS</w:t>
      </w:r>
    </w:p>
    <w:p>
      <w:pPr>
        <w:pStyle w:val="FirstParagraph"/>
      </w:pPr>
      <w:r>
        <w:rPr>
          <w:b/>
          <w:bCs/>
        </w:rPr>
        <w:t xml:space="preserve">Project Title: AI Website Builder</w:t>
      </w:r>
    </w:p>
    <w:p>
      <w:pPr>
        <w:pStyle w:val="BodyText"/>
      </w:pPr>
      <w:r>
        <w:rPr>
          <w:b/>
          <w:bCs/>
        </w:rPr>
        <w:t xml:space="preserve">Q1. What is the title of your project?</w:t>
      </w:r>
    </w:p>
    <w:p>
      <w:pPr>
        <w:pStyle w:val="BodyText"/>
      </w:pPr>
      <w:r>
        <w:t xml:space="preserve">Answer: The title of our project is</w:t>
      </w:r>
      <w:r>
        <w:t xml:space="preserve"> </w:t>
      </w:r>
      <w:r>
        <w:rPr>
          <w:b/>
          <w:bCs/>
        </w:rPr>
        <w:t xml:space="preserve">AI Website Builder</w:t>
      </w:r>
      <w:r>
        <w:t xml:space="preserve">.</w:t>
      </w:r>
    </w:p>
    <w:p>
      <w:pPr>
        <w:pStyle w:val="BodyText"/>
      </w:pPr>
      <w:r>
        <w:rPr>
          <w:b/>
          <w:bCs/>
        </w:rPr>
        <w:t xml:space="preserve">Q2. What is the main objective of your project?</w:t>
      </w:r>
    </w:p>
    <w:p>
      <w:pPr>
        <w:pStyle w:val="BodyText"/>
      </w:pPr>
      <w:r>
        <w:t xml:space="preserve">Answer: To design and train two scikit-learn classifiers — a TF-IDF plus logistic-regression model for site-type prediction and a one-vs-rest logistic-regression model for section prediction — on a hand-labelled set of natural-language website descriptions, so that a free-text prompt can be mapped to a structured site type and section list.</w:t>
      </w:r>
    </w:p>
    <w:p>
      <w:pPr>
        <w:pStyle w:val="BodyText"/>
      </w:pPr>
      <w:r>
        <w:rPr>
          <w:b/>
          <w:bCs/>
        </w:rPr>
        <w:t xml:space="preserve">Q3. Why did you choose this project?</w:t>
      </w:r>
    </w:p>
    <w:p>
      <w:pPr>
        <w:pStyle w:val="BodyText"/>
      </w:pPr>
      <w:r>
        <w:t xml:space="preserve">Answer: We chose this project to address the gap that commercial website builders such as Wix, Squarespace, and WordPress.com represent the dominant existing approach, offering large libraries of professionally designed templates that a user browses, selects, and then customizes block by block through a visual editor. Instead, the proposed AI Website Builder replaces the research paper’s transformer-and-reinforcement-learning pipeline with a two-stage, fully interpretable alternative built entirely on scikit-learn and deterministic rules, while preserving the same user-facing promise: type a plain-English description and receive a complete, previewable, exportable website.</w:t>
      </w:r>
    </w:p>
    <w:p>
      <w:pPr>
        <w:pStyle w:val="BodyText"/>
      </w:pPr>
      <w:r>
        <w:rPr>
          <w:b/>
          <w:bCs/>
        </w:rPr>
        <w:t xml:space="preserve">Q4. What problem does your project solve?</w:t>
      </w:r>
    </w:p>
    <w:p>
      <w:pPr>
        <w:pStyle w:val="BodyText"/>
      </w:pPr>
      <w:r>
        <w:t xml:space="preserve">Answer: A functional website remains one of the most effective ways for an individual, student, or small business to establish credibility and reach an audience, yet the barrier to creating one has stayed stubbornly high.</w:t>
      </w:r>
    </w:p>
    <w:p>
      <w:pPr>
        <w:pStyle w:val="BodyText"/>
      </w:pPr>
      <w:r>
        <w:rPr>
          <w:b/>
          <w:bCs/>
        </w:rPr>
        <w:t xml:space="preserve">Q5. What are the major modules of your project?</w:t>
      </w:r>
    </w:p>
    <w:p>
      <w:pPr>
        <w:pStyle w:val="BodyText"/>
      </w:pPr>
      <w:r>
        <w:t xml:space="preserve">Answer: The major modules are Prompt Capture &amp; Preprocessing Module, Site-Type &amp; Section Classification Module, Slot Extraction Module, Theme Engine, Component Assembler &amp; Renderer, and Persistence &amp; Export Module.</w:t>
      </w:r>
    </w:p>
    <w:p>
      <w:pPr>
        <w:pStyle w:val="BodyText"/>
      </w:pPr>
      <w:r>
        <w:rPr>
          <w:b/>
          <w:bCs/>
        </w:rPr>
        <w:t xml:space="preserve">Q6. What is the Prompt Capture &amp; Preprocessing Module module?</w:t>
      </w:r>
    </w:p>
    <w:p>
      <w:pPr>
        <w:pStyle w:val="BodyText"/>
      </w:pPr>
      <w:r>
        <w:t xml:space="preserve">Answer: Receives the raw natural-language description from the Flask /generate form POST, normalizes casing/whitespace, and produces both a cleaned string for the classifiers and a preserved raw string for slot extraction. It is the entry point of the pipeline and has no upstream dependency beyond the browser UI.</w:t>
      </w:r>
    </w:p>
    <w:p>
      <w:pPr>
        <w:pStyle w:val="BodyText"/>
      </w:pPr>
      <w:r>
        <w:rPr>
          <w:b/>
          <w:bCs/>
        </w:rPr>
        <w:t xml:space="preserve">Q7. What is the Site-Type &amp; Section Classification Module module?</w:t>
      </w:r>
    </w:p>
    <w:p>
      <w:pPr>
        <w:pStyle w:val="BodyText"/>
      </w:pPr>
      <w:r>
        <w:t xml:space="preserve">Answer: Wraps the two pre-trained scikit-learn pipelines (TF-IDF + logistic regression for site type, one-vs-rest logistic regression for sections) loaded via joblib at startup; consumes the cleaned prompt and outputs a predicted type, per-section inclusion flags, and class probabilities used downstream for the low-confidence check.</w:t>
      </w:r>
    </w:p>
    <w:p>
      <w:pPr>
        <w:pStyle w:val="BodyText"/>
      </w:pPr>
      <w:r>
        <w:rPr>
          <w:b/>
          <w:bCs/>
        </w:rPr>
        <w:t xml:space="preserve">Q8. What is the Slot Extraction Module module?</w:t>
      </w:r>
    </w:p>
    <w:p>
      <w:pPr>
        <w:pStyle w:val="BodyText"/>
      </w:pPr>
      <w:r>
        <w:t xml:space="preserve">Answer: Applies regex patterns and curated word lists to the raw prompt to pull out site name, tagline, contact details, and tone/color adjectives, falling back to generic placeholders when no match is found. It feeds structured slot values into both the Theme Engine and the Component Assembler.</w:t>
      </w:r>
    </w:p>
    <w:p>
      <w:pPr>
        <w:pStyle w:val="BodyText"/>
      </w:pPr>
      <w:r>
        <w:rPr>
          <w:b/>
          <w:bCs/>
        </w:rPr>
        <w:t xml:space="preserve">Q9. What is the Theme Engine module?</w:t>
      </w:r>
    </w:p>
    <w:p>
      <w:pPr>
        <w:pStyle w:val="BodyText"/>
      </w:pPr>
      <w:r>
        <w:t xml:space="preserve">Answer: Maps extracted tone/color adjectives to one of a fixed set of palette and font-stack pairs stored in a Python dictionary, and supplies the resolved theme object to the Component Assembler and Renderer for consistent styling across all generated sections.</w:t>
      </w:r>
    </w:p>
    <w:p>
      <w:pPr>
        <w:pStyle w:val="BodyText"/>
      </w:pPr>
      <w:r>
        <w:rPr>
          <w:b/>
          <w:bCs/>
        </w:rPr>
        <w:t xml:space="preserve">Q10. What is the Component Assembler &amp; Renderer module?</w:t>
      </w:r>
    </w:p>
    <w:p>
      <w:pPr>
        <w:pStyle w:val="BodyText"/>
      </w:pPr>
      <w:r>
        <w:t xml:space="preserve">Answer: Orders the predicted sections plus mandatory navbar/hero/footer according to per-site-type rules, pulls matching copy from the content bank, and fills Jinja2 templates to produce index.html, style.css, and script.js strings consumed by both the live preview iframe and the export module.</w:t>
      </w:r>
    </w:p>
    <w:p>
      <w:pPr>
        <w:pStyle w:val="BodyText"/>
      </w:pPr>
      <w:r>
        <w:rPr>
          <w:b/>
          <w:bCs/>
        </w:rPr>
        <w:t xml:space="preserve">Q11. How does your application work?</w:t>
      </w:r>
    </w:p>
    <w:p>
      <w:pPr>
        <w:pStyle w:val="BodyText"/>
      </w:pPr>
      <w:r>
        <w:t xml:space="preserve">Answer: At application startup, the Flask app’s factory function loads the two pre-trained joblib artifacts (site_type_classifier.pkl and section_predictor.pkl) into memory, initializes the SQLite connection and creates the projects table if it does not already exist, and registers the template-bank and theme-dictionary modules as in-memory Python objects so that no per-request disk I/O is needed for static assets. If either classifier artifact is missing or fails to unpickle (for example, after a scikit-learn version mismatch), the app logs an explicit startup error and falls back to a rule-only keyword-matching classifier bundled as a safety net, so the app remains demonstrable even if the trained models are corrupted or absent — this fallback path is one of the explicit conditional branches built into the system. During normal operation, the user lands on the home screen, types a description such as</w:t>
      </w:r>
      <w:r>
        <w:t xml:space="preserve"> </w:t>
      </w:r>
      <w:r>
        <w:t xml:space="preserve">“a bakery website called Sweet Crumbs with a warm, cozy feel”</w:t>
      </w:r>
      <w:r>
        <w:t xml:space="preserve"> </w:t>
      </w:r>
      <w:r>
        <w:t xml:space="preserve">into a text input, and submits it via a form POST to the /generate route. On receiving the request, the backend first runs the Preprocessing step to normalize the text, then passes it to the Site-Type Classifier, which returns a predicted label (e.g.,</w:t>
      </w:r>
      <w:r>
        <w:t xml:space="preserve"> </w:t>
      </w:r>
      <w:r>
        <w:t xml:space="preserve">“restaurant”</w:t>
      </w:r>
      <w:r>
        <w:t xml:space="preserve">) along with a probability vector across all six supported categories (portfolio, restaurant, small business, education, blog, non-profit). The Section Predictor, a separate one-vs-rest logistic regression model, independently scores each candidate section (menu, gallery, testimonials, hours, contact, etc.) against a 0.5 default decision threshold, returning the subset of sections whose predicted probability clears that threshold; the mandatory navbar, hero, and footer sections are always appended regardless of model output since they are structurally required by every template. The system then checks a composite confidence gate: if the top site-type probability falls below 0.55, or the prompt’s vocabulary overlap with the TF-IDF training vocabulary is below a minimum coverage ratio, or the raw prompt is shorter than a small word-count floor, the app sets a low_confidence flag and surfaces an explicit on-screen warning banner (</w:t>
      </w:r>
      <w:r>
        <w:t xml:space="preserve">“This guess may be unreliable — consider rephrasing”</w:t>
      </w:r>
      <w:r>
        <w:t xml:space="preserve">) rather than silently returning a possibly-wrong layout, directly implementing the brief’s requirement for an honest reliability signal that the original research paper does not describe. Regardless of the confidence outcome, the raw prompt proceeds to the Slot Extractor, which applies a sequence of regex patterns and curated word lists to pull out the site name (e.g., matched via patterns like</w:t>
      </w:r>
      <w:r>
        <w:t xml:space="preserve"> </w:t>
      </w:r>
      <w:r>
        <w:t xml:space="preserve">“called X”</w:t>
      </w:r>
      <w:r>
        <w:t xml:space="preserve"> </w:t>
      </w:r>
      <w:r>
        <w:t xml:space="preserve">or</w:t>
      </w:r>
      <w:r>
        <w:t xml:space="preserve"> </w:t>
      </w:r>
      <w:r>
        <w:t xml:space="preserve">“named X”</w:t>
      </w:r>
      <w:r>
        <w:t xml:space="preserve">), contact details if present, and tone/color adjectives; any slot that cannot be matched falls back to a generic placeholder (</w:t>
      </w:r>
      <w:r>
        <w:t xml:space="preserve">“Your Business Name”</w:t>
      </w:r>
      <w:r>
        <w:t xml:space="preserve">,</w:t>
      </w:r>
      <w:r>
        <w:t xml:space="preserve"> </w:t>
      </w:r>
      <w:r>
        <w:t xml:space="preserve">“contact@example.com”</w:t>
      </w:r>
      <w:r>
        <w:t xml:space="preserve">) so that template rendering never fails on missing data. The Theme Engine then resolves tone words to a palette/font pair, the Component Assembler orders the final section list per the site type’s template-ordering rule, and the Renderer fills Jinja2 templates to produce the HTML/CSS/JS strings, which are returned as a JSON response and injected into the sandboxed preview iframe on the frontend — this full round trip, from form submission to rendered preview, is designed to complete within a few hundred milliseconds since no network calls or heavy model inference are involved. During continuous operation, the user can edit text fields directly in the live preview (triggering client-side DOM updates without a full backend round trip) or request a device-width toggle (mobile/tablet/desktop) that simply resizes the iframe and reflows the already-rendered CSS rather than re-invoking the pipeline. When the user is satisfied, clicking</w:t>
      </w:r>
      <w:r>
        <w:t xml:space="preserve"> </w:t>
      </w:r>
      <w:r>
        <w:t xml:space="preserve">“Export”</w:t>
      </w:r>
      <w:r>
        <w:t xml:space="preserve"> </w:t>
      </w:r>
      <w:r>
        <w:t xml:space="preserve">triggers a /export route that re-serializes the current in-memory site model into index.html, style.css, and script.js files and streams them back as a ZIP via Python’s zipfile.ZipFile with send_file, while simultaneously writing a summary row (prompt, predicted type, confidence, timestamp) into the SQLite projects table for later retrieval on the About/history page.</w:t>
      </w:r>
    </w:p>
    <w:p>
      <w:pPr>
        <w:pStyle w:val="BodyText"/>
      </w:pPr>
      <w:r>
        <w:rPr>
          <w:b/>
          <w:bCs/>
        </w:rPr>
        <w:t xml:space="preserve">Q12. What technologies/tools are used in your project?</w:t>
      </w:r>
    </w:p>
    <w:p>
      <w:pPr>
        <w:pStyle w:val="BodyText"/>
      </w:pPr>
      <w:r>
        <w:t xml:space="preserve">Answer: The project uses Flask, Jinja2, scikit-learn, joblib, pandas / numpy, SQLite (sqlite3), zipfile, and pytest.</w:t>
      </w:r>
    </w:p>
    <w:p>
      <w:pPr>
        <w:pStyle w:val="BodyText"/>
      </w:pPr>
      <w:r>
        <w:rPr>
          <w:b/>
          <w:bCs/>
        </w:rPr>
        <w:t xml:space="preserve">Q13. What are the limitations of your project?</w:t>
      </w:r>
    </w:p>
    <w:p>
      <w:pPr>
        <w:pStyle w:val="BodyText"/>
      </w:pPr>
      <w:r>
        <w:t xml:space="preserve">Answer: The classifiers’ accuracy is bounded by the size and diversity of the hand-labeled training set the team writes itself; because no public dataset of natural-language-to-website-section mappings exists, there is a real risk that prompts phrased very differently from anything in the training examples (unusual slang, non-English phrasing, heavily abbreviated text, or prompts that describe a site type outside the six supported categories, such as a personal wiki or an e-commerce storefront) will be misclassified or will only trigger the low-confidence warning rather than producing a correct layout. This is an inherent ceiling of the TF-IDF/logistic-regression approach rather than a bug, and it is expected to be most visible on the thinnest-represented classes (likely blog and education, which are harder to describe distinctively in short prompts than something concrete like</w:t>
      </w:r>
      <w:r>
        <w:t xml:space="preserve"> </w:t>
      </w:r>
      <w:r>
        <w:t xml:space="preserve">“bakery”</w:t>
      </w:r>
      <w:r>
        <w:t xml:space="preserve">). The regex/word-list based slot extractor is deterministic but brittle to phrasing it was not explicitly written for; a name embedded without a trigger word (</w:t>
      </w:r>
      <w:r>
        <w:t xml:space="preserve">“Sweet Crumbs is what I want to call it”</w:t>
      </w:r>
      <w:r>
        <w:t xml:space="preserve">) or contact information given in an unusual format (a phone number written with words,</w:t>
      </w:r>
      <w:r>
        <w:t xml:space="preserve"> </w:t>
      </w:r>
      <w:r>
        <w:t xml:space="preserve">“call us at five five five”</w:t>
      </w:r>
      <w:r>
        <w:t xml:space="preserve">) is likely to be missed or partially extracted, and because this is a rule-based layer rather than a learned one, expanding its coverage means manually adding more patterns rather than the system improving from more data — a maintenance burden that grows faster than the pattern list’s coverage. The template/content-bank library, while broad enough to cover six site types with several sections each, is still a fixed, hand-written set, so multiple users describing similar businesses in the same category (two different bakeries, for instance) will receive structurally similar sites that differ mainly in extracted name, tone-derived palette, and font stack rather than in genuinely distinct layouts or copy, which is an honest ceiling on the system’s perceived originality compared to a true generative design model. Additionally, because the entire system runs on localhost with no persistence beyond a local SQLite file, there is no multi-device access, account system, or collaboration feature, which is an intentional and disclosed scope boundary rather than an oversight but is still a real constraint if the system were ever evaluated against production website builders.</w:t>
      </w:r>
    </w:p>
    <w:p>
      <w:pPr>
        <w:pStyle w:val="BodyText"/>
      </w:pPr>
      <w:r>
        <w:rPr>
          <w:b/>
          <w:bCs/>
        </w:rPr>
        <w:t xml:space="preserve">Q14. How did you test your project?</w:t>
      </w:r>
    </w:p>
    <w:p>
      <w:pPr>
        <w:pStyle w:val="BodyText"/>
      </w:pPr>
      <w:r>
        <w:t xml:space="preserve">Answer: Each module is tested in isolation before integration: the Slot Extractor is exercised with a pytest table of prompts covering explicit name mentions (</w:t>
      </w:r>
      <w:r>
        <w:t xml:space="preserve">“called Sweet Crumbs”</w:t>
      </w:r>
      <w:r>
        <w:t xml:space="preserve">), implicit or missing names (</w:t>
      </w:r>
      <w:r>
        <w:t xml:space="preserve">“a bakery site”</w:t>
      </w:r>
      <w:r>
        <w:t xml:space="preserve">), and ambiguous punctuation (</w:t>
      </w:r>
      <w:r>
        <w:t xml:space="preserve">“Joe’s Cafe &amp; Bakery”</w:t>
      </w:r>
      <w:r>
        <w:t xml:space="preserve">), asserting the extracted name matches expectations or correctly falls back to the generic placeholder. The two classifiers are evaluated with a held-out split of the hand-labeled dataset using scikit-learn’s classification_report and confusion_matrix to inspect per-class precision/recall, specifically checking that classes with few training examples (e.g., non-profit) are not systematically under-predicted, and these same accuracy figures are what get surfaced on the app’s About page rather than fabricated numbers. Debugging the end-to-end pipeline relies heavily on Flask’s debug-mode traceback pages and console logging of the intermediate site_model dict at each stage boundary, letting a developer print the classifier’s raw probability vector alongside the final low_confidence flag to verify the 0.55 threshold and vocabulary-coverage check are triggering correctly on deliberately vague test prompts (e.g., a single word like</w:t>
      </w:r>
      <w:r>
        <w:t xml:space="preserve"> </w:t>
      </w:r>
      <w:r>
        <w:t xml:space="preserve">“website”</w:t>
      </w:r>
      <w:r>
        <w:t xml:space="preserve">). Borderline section-prediction cases near the 0.5 decision threshold are specifically probed by crafting prompts that mention a feature only once or ambiguously, confirming the OneVsRestClassifier’s behavior is stable and explainable rather than erratic. Before a module is considered done, it must pass its pytest suite, and the full pipeline is additionally verified manually through the browser UI across all six site types with both a detailed prompt and a minimal one-word prompt, confirming the preview renders without missing sections, the device-width toggle reflows correctly, and the exported ZIP opens and runs correctly in a browser with no external network dependency — this manual offline-open check is treated as the final acceptance criterion for the export module specifically.</w:t>
      </w:r>
    </w:p>
    <w:p>
      <w:pPr>
        <w:pStyle w:val="BodyText"/>
      </w:pPr>
      <w:r>
        <w:rPr>
          <w:b/>
          <w:bCs/>
        </w:rPr>
        <w:t xml:space="preserve">Q15. What is the future scope of your project?</w:t>
      </w:r>
    </w:p>
    <w:p>
      <w:pPr>
        <w:pStyle w:val="BodyText"/>
      </w:pPr>
      <w:r>
        <w:t xml:space="preserve">Answer:</w:t>
      </w:r>
      <w:r>
        <w:t xml:space="preserve"> </w:t>
      </w:r>
      <w:r>
        <w:rPr>
          <w:i/>
          <w:iCs/>
        </w:rPr>
        <w:t xml:space="preserve">(TODO: fill in)</w:t>
      </w:r>
    </w:p>
    <w:p>
      <w:pPr>
        <w:pStyle w:val="BodyText"/>
      </w:pPr>
      <w:r>
        <w:rPr>
          <w:b/>
          <w:bCs/>
        </w:rPr>
        <w:t xml:space="preserve">Q16. How is your project different from existing systems?</w:t>
      </w:r>
    </w:p>
    <w:p>
      <w:pPr>
        <w:pStyle w:val="BodyText"/>
      </w:pPr>
      <w:r>
        <w:t xml:space="preserve">Answer: Unlike existing approaches, where commercial website builders such as Wix, Squarespace, and WordPress.com represent the dominant existing approach, offering large libraries of professionally designed templates that a user browses, selects, and then customizes block by block through a visual editor. Instead, the proposed AI Website Builder replaces the research paper’s transformer-and-reinforcement-learning pipeline with a two-stage, fully interpretable alternative built entirely on scikit-learn and deterministic rules, while preserving the same user-facing promise: type a plain-English description and receive a complete, previewable, exportable website.</w:t>
      </w:r>
    </w:p>
    <w:p>
      <w:pPr>
        <w:pStyle w:val="BodyText"/>
      </w:pPr>
      <w:r>
        <w:rPr>
          <w:b/>
          <w:bCs/>
        </w:rPr>
        <w:t xml:space="preserve">Q17. What are the expected outcomes of your project?</w:t>
      </w:r>
    </w:p>
    <w:p>
      <w:pPr>
        <w:pStyle w:val="BodyText"/>
      </w:pPr>
      <w:r>
        <w:t xml:space="preserve">Answer: The results chapter demonstrated, through three representative prompt scenarios and a dedicated export test, that the Flask-based pipeline is designed to move from a plain-English description to a themed, multi-section, responsive site preview in well under half a second, with slot extraction and theme selection correctly reflecting prompt-specific details such as name, tone, and requested features. It further showed how the TF-IDF plus logistic regression classifiers are expected to behave on both clear-cut and ambiguous or vocabulary-sparse prompts, and how a probability-threshold and runner-up-margin check is used to surface an honest low-confidence warning rather than a silently wrong layout. Finally, it tied the system’s expected reliability back to the specific simplifications made from the original research paper — smaller models, a hand-built dataset, and fixed templates in place of generative/RL layout — arguing that each substitution preserves the user-visible contribution while fitting a one-semester, GPU-free student budget.</w:t>
      </w:r>
    </w:p>
    <w:p>
      <w:pPr>
        <w:pStyle w:val="BodyText"/>
      </w:pPr>
      <w:r>
        <w:rPr>
          <w:b/>
          <w:bCs/>
        </w:rPr>
        <w:t xml:space="preserve">Q18. What challenges did you face during development?</w:t>
      </w:r>
    </w:p>
    <w:p>
      <w:pPr>
        <w:pStyle w:val="BodyText"/>
      </w:pPr>
      <w:r>
        <w:t xml:space="preserve">Answer: The decision to replace transformer-based NLP (spaCy/Hugging Face) with a TF-IDF plus logistic regression pipeline is expected to remain reliable for this project’s actual scope because the classification task is narrow and closed-set — six site types and a bounded set of section labels — rather than open-ended language understanding, and linear models over sparse bag-of-words features are well known to perform competitively on exactly this kind of short-text topic classification. The practical benefit is that both classifiers can be retrained from scratch on a laptop CPU in well under a minute as the hand-labeled prompt set grows, which matters because the team is expected to iterate on labeling quality multiple times before the final demo, and a transformer fine-tuning loop would make that iteration cycle (data fix → retrain → re-evaluate) prohibitively slow for a one-semester timeline with no GPU access. Replacing the generative layout model and reinforcement-learning placement optimizer with a fixed, hand-written template library is expected to preserve the core user-facing value — a plausible, themed, multi-section site appearing in response to plain English — without requiring either a reward-labeled dataset (which does not exist for this task) or the weeks of RL training and tuning that would be needed even if one did. Because the ordering and selection rules are simple per-type heuristics (e.g., always place hero first and footer last; order content sections by a fixed priority list per site type) rather than learned, the output is deterministic and easy for the student to explain and defend line-by-line in a viva, trading a small amount of layout novelty for complete transparency and zero training risk. Building a small, hand-labeled prompt set instead of relying on a large benchmark is expected to be sufficient specifically because the classifiers only need to generalize across six coarse classes and a modest section vocabulary, not across open-domain language; a few hundred carefully varied examples per class (covering different phrasings, tones, and lengths) is a realistic target for a student team and is expected to yield usable held-out accuracy, whereas a transformer approach would need an order of magnitude more labeled data to avoid overfitting its much larger parameter count. This simplification is also the most honestly reported limitation of the system, since the measured accuracy figures shown on the About page are a direct function of how well that small dataset covers real-world phrasing variety. Running as a single local Flask process with SQLite storage and ZIP export instead of a containerized Flask/Django deployment on Vercel removes an entire category of operational risk — authentication, container builds, environment variable management, cold-start latency — that contributes nothing to the core NLP-to-website contribution being evaluated academically. This keeps the demo’s performance characteristics simple and fully explainable: latency is dominated by the TF-IDF transform and template rendering (both sub-second on commodity hardware), not by network round-trips or container cold starts, so the system’s responsiveness during a live viva demonstration is not dependent on external infrastructure being available or correctly configured on demo day.</w:t>
      </w:r>
    </w:p>
    <w:p>
      <w:pPr>
        <w:pStyle w:val="BodyText"/>
      </w:pPr>
      <w:r>
        <w:rPr>
          <w:b/>
          <w:bCs/>
        </w:rPr>
        <w:t xml:space="preserve">Q19. What did you learn from this project?</w:t>
      </w:r>
    </w:p>
    <w:p>
      <w:pPr>
        <w:pStyle w:val="BodyText"/>
      </w:pPr>
      <w:r>
        <w:t xml:space="preserve">Answer: We gained practical knowledge in Flask, Jinja2, scikit-learn, joblib, pandas / numpy, SQLite (sqlite3), zipfile, and pytest and worked across the Prompt Capture &amp; Preprocessing Module, Site-Type &amp; Section Classification Module, Slot Extraction Module, Theme Engine, Component Assembler &amp; Renderer, and Persistence &amp; Export Module modules.</w:t>
      </w:r>
    </w:p>
    <w:bookmarkEnd w:id="18"/>
    <w:sectPr>
      <w:footerReference r:id="rId9" w:type="default"/>
      <w:footnotePr>
        <w:numRestart w:val="eachSect"/>
      </w:footnotePr>
      <w:pgSz w:h="16834" w:w="11909"/>
      <w:pgMar w:bottom="1440" w:left="216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sz w:val="24"/>
    </w:rPr>
  </w:style>
  <w:style w:styleId="BodyText" w:type="paragraph">
    <w:name w:val="Body Text"/>
    <w:basedOn w:val="Normal"/>
    <w:link w:val="BodyTextChar"/>
    <w:qFormat/>
    <w:pPr>
      <w:spacing w:after="180" w:before="180" w:line="288" w:lineRule="auto"/>
      <w:jc w:val="both"/>
    </w:pPr>
    <w:rPr>
      <w:rFonts w:ascii="Times New Roman" w:eastAsia="Times New Roman" w:hAnsi="Times New Roman"/>
      <w:sz w:val="24"/>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rPr>
  </w:style>
  <w:style w:customStyle="1" w:styleId="Compact" w:type="paragraph">
    <w:name w:val="Compact"/>
    <w:basedOn w:val="BodyText"/>
    <w:qFormat/>
    <w:pPr>
      <w:spacing w:after="36" w:before="36" w:line="288" w:lineRule="auto"/>
      <w:jc w:val="both"/>
    </w:pPr>
    <w:rPr>
      <w:rFonts w:ascii="Times New Roman" w:eastAsia="Times New Roman" w:hAnsi="Times New Roman"/>
    </w:rPr>
  </w:style>
  <w:style w:styleId="Title" w:type="paragraph">
    <w:name w:val="Title"/>
    <w:basedOn w:val="Normal"/>
    <w:next w:val="BodyText"/>
    <w:link w:val="TitleChar"/>
    <w:uiPriority w:val="10"/>
    <w:qFormat/>
    <w:rsid w:val="00A10FD9"/>
    <w:pPr>
      <w:spacing w:after="80" w:line="288" w:lineRule="auto"/>
      <w:contextualSpacing/>
      <w:jc w:val="center"/>
    </w:pPr>
    <w:rPr>
      <w:rFonts w:ascii="Times New Roman" w:asciiTheme="majorHAnsi" w:cstheme="majorBidi" w:eastAsia="Times New Roman" w:eastAsiaTheme="majorEastAsia" w:hAnsi="Times New Roman" w:hAnsiTheme="majorHAnsi"/>
      <w:b/>
      <w:caps/>
      <w:sz w:val="36"/>
      <w:szCs w:val="56"/>
    </w:rPr>
  </w:style>
  <w:style w:customStyle="1" w:styleId="TitleChar" w:type="character">
    <w:name w:val="Title Char"/>
    <w:basedOn w:val="DefaultParagraphFont"/>
    <w:link w:val="Title"/>
    <w:uiPriority w:val="10"/>
    <w:rsid w:val="00A10FD9"/>
    <w:rPr>
      <w:rFonts w:ascii="Times New Roman" w:asciiTheme="majorHAnsi"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eastAsia="Times New Roman" w:hAnsi="Times New Roman"/>
      <w:sz w:val="24"/>
      <w:szCs w:val="24"/>
    </w:rPr>
  </w:style>
  <w:style w:styleId="Date" w:type="paragraph">
    <w:name w:val="Date"/>
    <w:basedOn w:val="Title"/>
    <w:next w:val="BodyText"/>
    <w:qFormat/>
    <w:pPr>
      <w:keepNext/>
      <w:keepLines/>
    </w:pPr>
    <w:rPr>
      <w:rFonts w:ascii="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line="288" w:lineRule="auto"/>
      <w:jc w:val="center"/>
      <w:outlineLvl w:val="0"/>
    </w:pPr>
    <w:rPr>
      <w:rFonts w:ascii="Times New Roman" w:asciiTheme="majorHAnsi" w:cstheme="majorBidi" w:eastAsia="Times New Roman" w:eastAsiaTheme="majorEastAsia" w:hAnsi="Times New Roman" w:hAnsiTheme="majorHAnsi"/>
      <w:b/>
      <w:caps/>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88" w:lineRule="auto"/>
      <w:jc w:val="center"/>
      <w:outlineLvl w:val="1"/>
    </w:pPr>
    <w:rPr>
      <w:rFonts w:ascii="Times New Roman" w:asciiTheme="majorHAnsi" w:cstheme="majorBidi" w:eastAsia="Times New Roman" w:eastAsiaTheme="majorEastAsia" w:hAnsi="Times New Roman" w:hAnsiTheme="majorHAnsi"/>
      <w:b/>
      <w:caps/>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b/>
      <w:caps/>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2026-10-05T07:02:40Z</dcterms:created>
  <dcterms:modified xsi:type="dcterms:W3CDTF">2026-10-05T07:02:40Z</dcterms:modified>
</cp:coreProperties>
</file>

<file path=docProps/custom.xml><?xml version="1.0" encoding="utf-8"?>
<Properties xmlns="http://schemas.openxmlformats.org/officeDocument/2006/custom-properties" xmlns:vt="http://schemas.openxmlformats.org/officeDocument/2006/docPropsVTypes"/>
</file>