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60" w:before="0"/>
        <w:ind/>
        <w:rPr/>
      </w:pPr>
      <w:r>
        <w:rPr>
          <w:rFonts w:ascii="Arial" w:hAnsi="Arial"/>
          <w:b/>
          <w:color w:val="1b365d"/>
          <w:sz w:val="44"/>
        </w:rPr>
        <w:t xml:space="preserve">BidMont Backend Teknik Tasarım ve Mimari Dokümanı</w:t>
      </w:r>
      <w:r/>
    </w:p>
    <w:p>
      <w:pPr>
        <w:pBdr/>
        <w:spacing/>
        <w:ind/>
        <w:rPr/>
      </w:pPr>
      <w:r>
        <w:t xml:space="preserve">Bu doküman, BidMont online açık artırma platformunun backend mimarisin</w:t>
      </w:r>
      <w:r>
        <w:t xml:space="preserve">i, veritabanı tasarımını ve canlı teklif motoru altyapısını detaylandırmak amacıyla hazırlanmıştır. Geliştiricinin Python, PostgreSQL ve C/C++ yetkinlikleri göz önünde bulundurularak, modern, ölçeklenebilir ve yüksek performanslı bir sistem hedeflenmiştir.</w:t>
      </w:r>
      <w:r/>
    </w:p>
    <w:p>
      <w:pPr>
        <w:keepNext w:val="true"/>
        <w:pBdr/>
        <w:spacing w:after="160" w:before="360"/>
        <w:ind/>
        <w:rPr/>
      </w:pPr>
      <w:r>
        <w:rPr>
          <w:b/>
          <w:color w:val="1b365d"/>
          <w:sz w:val="30"/>
        </w:rPr>
        <w:t xml:space="preserve">1. Giriş ve Proje Özeti</w:t>
      </w:r>
      <w:r/>
    </w:p>
    <w:p>
      <w:pPr>
        <w:pBdr/>
        <w:spacing/>
        <w:ind/>
        <w:rPr/>
      </w:pPr>
      <w:r>
        <w:t xml:space="preserve">BidMont; Karadağ ve Balkanlar pazarında araç, ekipman ve genel ürünler için canlı teklif ve online açık artırma sistemi olarak konumlandırılacaktır. İlk hedef, güvenilir bir MVP (Minimum Viable Product) ç</w:t>
      </w:r>
      <w:r>
        <w:t xml:space="preserve">ıkarıp alıcı-satıcı kayıtlarını almak, açık artırma ilanlarını yönetmek ve teklif süreçlerini şeffaf şekilde çalıştırmaktır. Sistem; kullanıcı hesabı, ilan oluşturma, teklif verme, ödeme/komisyon takibi, admin onayı ve bildirim modülleriyle büyütülecektir.</w:t>
      </w:r>
      <w:r/>
    </w:p>
    <w:p>
      <w:pPr>
        <w:keepNext w:val="true"/>
        <w:pBdr/>
        <w:spacing w:after="160" w:before="360"/>
        <w:ind/>
        <w:rPr/>
      </w:pPr>
      <w:r>
        <w:rPr>
          <w:b/>
          <w:color w:val="1b365d"/>
          <w:sz w:val="30"/>
        </w:rPr>
        <w:t xml:space="preserve">2. Mimari ve Teknoloji Yığını (Tech Stack)</w:t>
      </w:r>
      <w:r/>
    </w:p>
    <w:p>
      <w:pPr>
        <w:pBdr/>
        <w:spacing/>
        <w:ind/>
        <w:rPr/>
      </w:pPr>
      <w:r>
        <w:t xml:space="preserve">Platf</w:t>
      </w:r>
      <w:r>
        <w:t xml:space="preserve">ormun canlı teklif ve online açık artırma yapısı, düşük gecikme süreli (low-latency) ve eşzamanlı istekleri yönetebilen bir altyapı gerektirir. Sektördeki başarılı örneklerin altyapı analizleri de göz önünde bulundurularak mimari şu şekilde tasarlanmıştır:</w:t>
      </w:r>
      <w:r/>
    </w:p>
    <w:tbl>
      <w:tblPr>
        <w:jc w:val="center"/>
        <w:tblW w:w="0" w:type="auto"/>
        <w:tblBorders>
          <w:top w:val="single" w:color="cccccc" w:sz="4" w:space="0"/>
          <w:left w:val="none" w:color="000000" w:sz="4" w:space="0"/>
          <w:bottom w:val="single" w:color="888888" w:sz="6" w:space="0"/>
          <w:right w:val="none" w:color="000000" w:sz="4" w:space="0"/>
          <w:insideH w:val="single" w:color="e0e0e0" w:sz="4" w:space="0"/>
          <w:insideV w:val="none" w:color="000000" w:sz="4" w:space="0"/>
        </w:tblBorders>
        <w:tblLook w:val="04A0" w:firstRow="1" w:lastRow="0" w:firstColumn="1" w:lastColumn="0" w:noHBand="0" w:noVBand="1"/>
      </w:tblPr>
      <w:tblGrid>
        <w:gridCol w:w="3120"/>
        <w:gridCol w:w="3120"/>
        <w:gridCol w:w="3120"/>
      </w:tblGrid>
      <w:tr>
        <w:trPr>
          <w:cantSplit/>
          <w:tblHeader/>
        </w:trPr>
        <w:tc>
          <w:tcPr>
            <w:shd w:val="clear" w:color="auto" w:fill="1b365d"/>
            <w:tcBorders/>
            <w:tcMar>
              <w:left w:w="150" w:type="dxa"/>
              <w:top w:w="120" w:type="dxa"/>
              <w:right w:w="150" w:type="dxa"/>
              <w:bottom w:w="120" w:type="dxa"/>
            </w:tcMar>
            <w:tcW w:w="2592" w:type="dxa"/>
          </w:tcPr>
          <w:p>
            <w:pPr>
              <w:pBdr/>
              <w:spacing w:after="0" w:line="276" w:lineRule="auto"/>
              <w:ind/>
              <w:rPr/>
            </w:pPr>
            <w:r>
              <w:rPr>
                <w:rFonts w:ascii="Arial" w:hAnsi="Arial"/>
                <w:b/>
                <w:color w:val="ffffff"/>
                <w:sz w:val="19"/>
              </w:rPr>
              <w:t xml:space="preserve">Katman / Bileşen</w:t>
            </w:r>
            <w:r/>
          </w:p>
        </w:tc>
        <w:tc>
          <w:tcPr>
            <w:shd w:val="clear" w:color="auto" w:fill="1b365d"/>
            <w:tcBorders/>
            <w:tcMar>
              <w:left w:w="150" w:type="dxa"/>
              <w:top w:w="120" w:type="dxa"/>
              <w:right w:w="150" w:type="dxa"/>
              <w:bottom w:w="120" w:type="dxa"/>
            </w:tcMar>
            <w:tcW w:w="2160" w:type="dxa"/>
          </w:tcPr>
          <w:p>
            <w:pPr>
              <w:pBdr/>
              <w:spacing w:after="0" w:line="276" w:lineRule="auto"/>
              <w:ind/>
              <w:rPr/>
            </w:pPr>
            <w:r>
              <w:rPr>
                <w:rFonts w:ascii="Arial" w:hAnsi="Arial"/>
                <w:b/>
                <w:color w:val="ffffff"/>
                <w:sz w:val="19"/>
              </w:rPr>
              <w:t xml:space="preserve">Seçilen Teknoloji</w:t>
            </w:r>
            <w:r/>
          </w:p>
        </w:tc>
        <w:tc>
          <w:tcPr>
            <w:shd w:val="clear" w:color="auto" w:fill="1b365d"/>
            <w:tcBorders/>
            <w:tcMar>
              <w:left w:w="150" w:type="dxa"/>
              <w:top w:w="120" w:type="dxa"/>
              <w:right w:w="150" w:type="dxa"/>
              <w:bottom w:w="120" w:type="dxa"/>
            </w:tcMar>
            <w:tcW w:w="4608" w:type="dxa"/>
          </w:tcPr>
          <w:p>
            <w:pPr>
              <w:pBdr/>
              <w:spacing w:after="0" w:line="276" w:lineRule="auto"/>
              <w:ind/>
              <w:rPr/>
            </w:pPr>
            <w:r>
              <w:rPr>
                <w:rFonts w:ascii="Arial" w:hAnsi="Arial"/>
                <w:b/>
                <w:color w:val="ffffff"/>
                <w:sz w:val="19"/>
              </w:rPr>
              <w:t xml:space="preserve">Teknik Gerekçe ve Notlar</w:t>
            </w:r>
            <w:r/>
          </w:p>
        </w:tc>
      </w:tr>
      <w:tr>
        <w:trPr>
          <w:cantSplit/>
        </w:trPr>
        <w:tc>
          <w:tcPr>
            <w:shd w:val="clear" w:color="auto" w:fill="f8fafc"/>
            <w:tcBorders/>
            <w:tcMar>
              <w:left w:w="150" w:type="dxa"/>
              <w:top w:w="120" w:type="dxa"/>
              <w:right w:w="150" w:type="dxa"/>
              <w:bottom w:w="120" w:type="dxa"/>
            </w:tcMar>
            <w:tcW w:w="2592" w:type="dxa"/>
          </w:tcPr>
          <w:p>
            <w:pPr>
              <w:pBdr/>
              <w:spacing w:after="0" w:line="276" w:lineRule="auto"/>
              <w:ind/>
              <w:rPr/>
            </w:pPr>
            <w:r>
              <w:rPr>
                <w:rFonts w:ascii="Arial" w:hAnsi="Arial"/>
                <w:b/>
                <w:sz w:val="19"/>
              </w:rPr>
              <w:t xml:space="preserve">Ana Backend Framework</w:t>
            </w:r>
            <w:r/>
          </w:p>
        </w:tc>
        <w:tc>
          <w:tcPr>
            <w:shd w:val="clear" w:color="auto" w:fill="f8fafc"/>
            <w:tcBorders/>
            <w:tcMar>
              <w:left w:w="150" w:type="dxa"/>
              <w:top w:w="120" w:type="dxa"/>
              <w:right w:w="150" w:type="dxa"/>
              <w:bottom w:w="120" w:type="dxa"/>
            </w:tcMar>
            <w:tcW w:w="2160" w:type="dxa"/>
          </w:tcPr>
          <w:p>
            <w:pPr>
              <w:pBdr/>
              <w:spacing w:after="0" w:line="276" w:lineRule="auto"/>
              <w:ind/>
              <w:rPr/>
            </w:pPr>
            <w:r>
              <w:rPr>
                <w:rFonts w:ascii="Arial" w:hAnsi="Arial"/>
                <w:sz w:val="19"/>
              </w:rPr>
              <w:t xml:space="preserve">Python / FastAPI</w:t>
            </w:r>
            <w:r/>
          </w:p>
        </w:tc>
        <w:tc>
          <w:tcPr>
            <w:shd w:val="clear" w:color="auto" w:fill="f8fafc"/>
            <w:tcBorders/>
            <w:tcMar>
              <w:left w:w="150" w:type="dxa"/>
              <w:top w:w="120" w:type="dxa"/>
              <w:right w:w="150" w:type="dxa"/>
              <w:bottom w:w="120" w:type="dxa"/>
            </w:tcMar>
            <w:tcW w:w="4608" w:type="dxa"/>
          </w:tcPr>
          <w:p>
            <w:pPr>
              <w:pBdr/>
              <w:spacing w:after="0" w:line="276" w:lineRule="auto"/>
              <w:ind/>
              <w:rPr/>
            </w:pPr>
            <w:r>
              <w:rPr>
                <w:rFonts w:ascii="Arial" w:hAnsi="Arial"/>
                <w:sz w:val="19"/>
              </w:rPr>
              <w:t xml:space="preserve">FastAPI, asenkron (asyncio) yapısı sayesinde canlı teklif ekranları için gereken yüksek adetli WebSocket bağlantısını yerel olarak destekler. Otomatik OpenAPI (Swagger) dokümantasyonu sağlar ve çok hızlıdır.</w:t>
            </w:r>
            <w:r/>
          </w:p>
        </w:tc>
      </w:tr>
      <w:tr>
        <w:trPr>
          <w:cantSplit/>
        </w:trPr>
        <w:tc>
          <w:tcPr>
            <w:tcBorders/>
            <w:tcMar>
              <w:left w:w="150" w:type="dxa"/>
              <w:top w:w="120" w:type="dxa"/>
              <w:right w:w="150" w:type="dxa"/>
              <w:bottom w:w="120" w:type="dxa"/>
            </w:tcMar>
            <w:tcW w:w="2592" w:type="dxa"/>
          </w:tcPr>
          <w:p>
            <w:pPr>
              <w:pBdr/>
              <w:spacing w:after="0" w:line="276" w:lineRule="auto"/>
              <w:ind/>
              <w:rPr/>
            </w:pPr>
            <w:r>
              <w:rPr>
                <w:rFonts w:ascii="Arial" w:hAnsi="Arial"/>
                <w:b/>
                <w:sz w:val="19"/>
              </w:rPr>
              <w:t xml:space="preserve">Ana Veritabanı</w:t>
            </w:r>
            <w:r/>
          </w:p>
        </w:tc>
        <w:tc>
          <w:tcPr>
            <w:tcBorders/>
            <w:tcMar>
              <w:left w:w="150" w:type="dxa"/>
              <w:top w:w="120" w:type="dxa"/>
              <w:right w:w="150" w:type="dxa"/>
              <w:bottom w:w="120" w:type="dxa"/>
            </w:tcMar>
            <w:tcW w:w="2160" w:type="dxa"/>
          </w:tcPr>
          <w:p>
            <w:pPr>
              <w:pBdr/>
              <w:spacing w:after="0" w:line="276" w:lineRule="auto"/>
              <w:ind/>
              <w:rPr/>
            </w:pPr>
            <w:r>
              <w:rPr>
                <w:rFonts w:ascii="Arial" w:hAnsi="Arial"/>
                <w:sz w:val="19"/>
              </w:rPr>
              <w:t xml:space="preserve">PostgreSQL</w:t>
            </w:r>
            <w:r/>
          </w:p>
        </w:tc>
        <w:tc>
          <w:tcPr>
            <w:tcBorders/>
            <w:tcMar>
              <w:left w:w="150" w:type="dxa"/>
              <w:top w:w="120" w:type="dxa"/>
              <w:right w:w="150" w:type="dxa"/>
              <w:bottom w:w="120" w:type="dxa"/>
            </w:tcMar>
            <w:tcW w:w="4608" w:type="dxa"/>
          </w:tcPr>
          <w:p>
            <w:pPr>
              <w:pBdr/>
              <w:spacing w:after="0" w:line="276" w:lineRule="auto"/>
              <w:ind/>
              <w:rPr/>
            </w:pPr>
            <w:r>
              <w:rPr>
                <w:rFonts w:ascii="Arial" w:hAnsi="Arial"/>
                <w:sz w:val="19"/>
              </w:rPr>
              <w:t xml:space="preserve">Finansal işlemler, teklif kayıtları ve kullanıcı verilerinin bütünlüğü için ACID uyumluluğu yüksek ilişkisel veritabanı zorunludur. Karmaşık sorgular ve indeksleme performansı için optimize edilecektir.</w:t>
            </w:r>
            <w:r/>
          </w:p>
        </w:tc>
      </w:tr>
      <w:tr>
        <w:trPr>
          <w:cantSplit/>
        </w:trPr>
        <w:tc>
          <w:tcPr>
            <w:shd w:val="clear" w:color="auto" w:fill="f8fafc"/>
            <w:tcBorders/>
            <w:tcMar>
              <w:left w:w="150" w:type="dxa"/>
              <w:top w:w="120" w:type="dxa"/>
              <w:right w:w="150" w:type="dxa"/>
              <w:bottom w:w="120" w:type="dxa"/>
            </w:tcMar>
            <w:tcW w:w="2592" w:type="dxa"/>
          </w:tcPr>
          <w:p>
            <w:pPr>
              <w:pBdr/>
              <w:spacing w:after="0" w:line="276" w:lineRule="auto"/>
              <w:ind/>
              <w:rPr/>
            </w:pPr>
            <w:r>
              <w:rPr>
                <w:rFonts w:ascii="Arial" w:hAnsi="Arial"/>
                <w:b/>
                <w:sz w:val="19"/>
              </w:rPr>
              <w:t xml:space="preserve">Performans ve Optimizasyon</w:t>
            </w:r>
            <w:r/>
          </w:p>
        </w:tc>
        <w:tc>
          <w:tcPr>
            <w:shd w:val="clear" w:color="auto" w:fill="f8fafc"/>
            <w:tcBorders/>
            <w:tcMar>
              <w:left w:w="150" w:type="dxa"/>
              <w:top w:w="120" w:type="dxa"/>
              <w:right w:w="150" w:type="dxa"/>
              <w:bottom w:w="120" w:type="dxa"/>
            </w:tcMar>
            <w:tcW w:w="2160" w:type="dxa"/>
          </w:tcPr>
          <w:p>
            <w:pPr>
              <w:pBdr/>
              <w:spacing w:after="0" w:line="276" w:lineRule="auto"/>
              <w:ind/>
              <w:rPr/>
            </w:pPr>
            <w:r>
              <w:rPr>
                <w:rFonts w:ascii="Arial" w:hAnsi="Arial"/>
                <w:sz w:val="19"/>
              </w:rPr>
              <w:t xml:space="preserve">C / C++ Entegrasyonu</w:t>
            </w:r>
            <w:r/>
          </w:p>
        </w:tc>
        <w:tc>
          <w:tcPr>
            <w:shd w:val="clear" w:color="auto" w:fill="f8fafc"/>
            <w:tcBorders/>
            <w:tcMar>
              <w:left w:w="150" w:type="dxa"/>
              <w:top w:w="120" w:type="dxa"/>
              <w:right w:w="150" w:type="dxa"/>
              <w:bottom w:w="120" w:type="dxa"/>
            </w:tcMar>
            <w:tcW w:w="4608" w:type="dxa"/>
          </w:tcPr>
          <w:p>
            <w:pPr>
              <w:pBdr/>
              <w:spacing w:after="0" w:line="276" w:lineRule="auto"/>
              <w:ind/>
              <w:rPr/>
            </w:pPr>
            <w:r>
              <w:rPr>
                <w:rFonts w:ascii="Arial" w:hAnsi="Arial"/>
                <w:sz w:val="19"/>
              </w:rPr>
              <w:t xml:space="preserve">Teklif motorunda anlık kazanan belirleme, minimum artış kontrolü ve son dakika süre uzatma algoritmaları çok yüksek trafik anlarında darbe emici rol oynaması için C/C++ ile yazılıp pybind11 veya ctypes aracılığıyla Python'a bağlanabilir.</w:t>
            </w:r>
            <w:r/>
          </w:p>
        </w:tc>
      </w:tr>
      <w:tr>
        <w:trPr>
          <w:cantSplit/>
        </w:trPr>
        <w:tc>
          <w:tcPr>
            <w:tcBorders/>
            <w:tcMar>
              <w:left w:w="150" w:type="dxa"/>
              <w:top w:w="120" w:type="dxa"/>
              <w:right w:w="150" w:type="dxa"/>
              <w:bottom w:w="120" w:type="dxa"/>
            </w:tcMar>
            <w:tcW w:w="2592" w:type="dxa"/>
          </w:tcPr>
          <w:p>
            <w:pPr>
              <w:pBdr/>
              <w:spacing w:after="0" w:line="276" w:lineRule="auto"/>
              <w:ind/>
              <w:rPr/>
            </w:pPr>
            <w:r>
              <w:rPr>
                <w:rFonts w:ascii="Arial" w:hAnsi="Arial"/>
                <w:b/>
                <w:sz w:val="19"/>
              </w:rPr>
              <w:t xml:space="preserve">Güvenlik ve CDN</w:t>
            </w:r>
            <w:r/>
          </w:p>
        </w:tc>
        <w:tc>
          <w:tcPr>
            <w:tcBorders/>
            <w:tcMar>
              <w:left w:w="150" w:type="dxa"/>
              <w:top w:w="120" w:type="dxa"/>
              <w:right w:w="150" w:type="dxa"/>
              <w:bottom w:w="120" w:type="dxa"/>
            </w:tcMar>
            <w:tcW w:w="2160" w:type="dxa"/>
          </w:tcPr>
          <w:p>
            <w:pPr>
              <w:pBdr/>
              <w:spacing w:after="0" w:line="276" w:lineRule="auto"/>
              <w:ind/>
              <w:rPr/>
            </w:pPr>
            <w:r>
              <w:rPr>
                <w:rFonts w:ascii="Arial" w:hAnsi="Arial"/>
                <w:sz w:val="19"/>
              </w:rPr>
              <w:t xml:space="preserve">Cloudflare &amp; Linux (Ubuntu)</w:t>
            </w:r>
            <w:r/>
          </w:p>
        </w:tc>
        <w:tc>
          <w:tcPr>
            <w:tcBorders/>
            <w:tcMar>
              <w:left w:w="150" w:type="dxa"/>
              <w:top w:w="120" w:type="dxa"/>
              <w:right w:w="150" w:type="dxa"/>
              <w:bottom w:w="120" w:type="dxa"/>
            </w:tcMar>
            <w:tcW w:w="4608" w:type="dxa"/>
          </w:tcPr>
          <w:p>
            <w:pPr>
              <w:pBdr/>
              <w:spacing w:after="0" w:line="276" w:lineRule="auto"/>
              <w:ind/>
              <w:rPr/>
            </w:pPr>
            <w:r>
              <w:rPr>
                <w:rFonts w:ascii="Arial" w:hAnsi="Arial"/>
                <w:sz w:val="19"/>
              </w:rPr>
              <w:t xml:space="preserve">Büyük ölçekli platformların standart tercihi olan Cloudflare; DDoS koruması, Web Application Firewall (WAF) ve görsel/medya içeriklerinin hızlı sunulması için CDN görevi görecektir.</w:t>
            </w:r>
            <w:r/>
          </w:p>
        </w:tc>
      </w:tr>
      <w:tr>
        <w:trPr>
          <w:cantSplit/>
        </w:trPr>
        <w:tc>
          <w:tcPr>
            <w:shd w:val="clear" w:color="auto" w:fill="f8fafc"/>
            <w:tcBorders/>
            <w:tcMar>
              <w:left w:w="150" w:type="dxa"/>
              <w:top w:w="120" w:type="dxa"/>
              <w:right w:w="150" w:type="dxa"/>
              <w:bottom w:w="120" w:type="dxa"/>
            </w:tcMar>
            <w:tcW w:w="2592" w:type="dxa"/>
          </w:tcPr>
          <w:p>
            <w:pPr>
              <w:pBdr/>
              <w:spacing w:after="0" w:line="276" w:lineRule="auto"/>
              <w:ind/>
              <w:rPr/>
            </w:pPr>
            <w:r>
              <w:rPr>
                <w:rFonts w:ascii="Arial" w:hAnsi="Arial"/>
                <w:b/>
                <w:sz w:val="19"/>
              </w:rPr>
              <w:t xml:space="preserve">Dosya Depolama</w:t>
            </w:r>
            <w:r/>
          </w:p>
        </w:tc>
        <w:tc>
          <w:tcPr>
            <w:shd w:val="clear" w:color="auto" w:fill="f8fafc"/>
            <w:tcBorders/>
            <w:tcMar>
              <w:left w:w="150" w:type="dxa"/>
              <w:top w:w="120" w:type="dxa"/>
              <w:right w:w="150" w:type="dxa"/>
              <w:bottom w:w="120" w:type="dxa"/>
            </w:tcMar>
            <w:tcW w:w="2160" w:type="dxa"/>
          </w:tcPr>
          <w:p>
            <w:pPr>
              <w:pBdr/>
              <w:spacing w:after="0" w:line="276" w:lineRule="auto"/>
              <w:ind/>
              <w:rPr/>
            </w:pPr>
            <w:r>
              <w:rPr>
                <w:rFonts w:ascii="Arial" w:hAnsi="Arial"/>
                <w:sz w:val="19"/>
              </w:rPr>
              <w:t xml:space="preserve">S3 Uyumlu Nesne Depolama</w:t>
            </w:r>
            <w:r/>
          </w:p>
        </w:tc>
        <w:tc>
          <w:tcPr>
            <w:shd w:val="clear" w:color="auto" w:fill="f8fafc"/>
            <w:tcBorders/>
            <w:tcMar>
              <w:left w:w="150" w:type="dxa"/>
              <w:top w:w="120" w:type="dxa"/>
              <w:right w:w="150" w:type="dxa"/>
              <w:bottom w:w="120" w:type="dxa"/>
            </w:tcMar>
            <w:tcW w:w="4608" w:type="dxa"/>
          </w:tcPr>
          <w:p>
            <w:pPr>
              <w:pBdr/>
              <w:spacing w:after="0" w:line="276" w:lineRule="auto"/>
              <w:ind/>
              <w:rPr/>
            </w:pPr>
            <w:r>
              <w:rPr>
                <w:rFonts w:ascii="Arial" w:hAnsi="Arial"/>
                <w:sz w:val="19"/>
              </w:rPr>
              <w:t xml:space="preserve">Araç ve ürün fotoğraflarının güvenli, ölçeklenebilir ve performanslı şekilde saklanması için tercih edilmiştir.</w:t>
            </w:r>
            <w:r/>
          </w:p>
        </w:tc>
      </w:tr>
      <w:tr>
        <w:trPr>
          <w:cantSplit/>
        </w:trPr>
        <w:tc>
          <w:tcPr>
            <w:tcBorders/>
            <w:tcMar>
              <w:left w:w="150" w:type="dxa"/>
              <w:top w:w="120" w:type="dxa"/>
              <w:right w:w="150" w:type="dxa"/>
              <w:bottom w:w="120" w:type="dxa"/>
            </w:tcMar>
            <w:tcW w:w="2592" w:type="dxa"/>
          </w:tcPr>
          <w:p>
            <w:pPr>
              <w:pBdr/>
              <w:spacing w:after="0" w:line="276" w:lineRule="auto"/>
              <w:ind/>
              <w:rPr/>
            </w:pPr>
            <w:r>
              <w:rPr>
                <w:rFonts w:ascii="Arial" w:hAnsi="Arial"/>
                <w:b/>
                <w:sz w:val="19"/>
              </w:rPr>
              <w:t xml:space="preserve">Anlık İletişim (Real-time)</w:t>
            </w:r>
            <w:r/>
          </w:p>
        </w:tc>
        <w:tc>
          <w:tcPr>
            <w:tcBorders/>
            <w:tcMar>
              <w:left w:w="150" w:type="dxa"/>
              <w:top w:w="120" w:type="dxa"/>
              <w:right w:w="150" w:type="dxa"/>
              <w:bottom w:w="120" w:type="dxa"/>
            </w:tcMar>
            <w:tcW w:w="2160" w:type="dxa"/>
          </w:tcPr>
          <w:p>
            <w:pPr>
              <w:pBdr/>
              <w:spacing w:after="0" w:line="276" w:lineRule="auto"/>
              <w:ind/>
              <w:rPr/>
            </w:pPr>
            <w:r>
              <w:rPr>
                <w:rFonts w:ascii="Arial" w:hAnsi="Arial"/>
                <w:sz w:val="19"/>
              </w:rPr>
              <w:t xml:space="preserve">WebSockets / FastAPI WebSockets</w:t>
            </w:r>
            <w:r/>
          </w:p>
        </w:tc>
        <w:tc>
          <w:tcPr>
            <w:tcBorders/>
            <w:tcMar>
              <w:left w:w="150" w:type="dxa"/>
              <w:top w:w="120" w:type="dxa"/>
              <w:right w:w="150" w:type="dxa"/>
              <w:bottom w:w="120" w:type="dxa"/>
            </w:tcMar>
            <w:tcW w:w="4608" w:type="dxa"/>
          </w:tcPr>
          <w:p>
            <w:pPr>
              <w:pBdr/>
              <w:spacing w:after="0" w:line="276" w:lineRule="auto"/>
              <w:ind/>
              <w:rPr/>
            </w:pPr>
            <w:r>
              <w:rPr>
                <w:rFonts w:ascii="Arial" w:hAnsi="Arial"/>
                <w:sz w:val="19"/>
              </w:rPr>
              <w:t xml:space="preserve">Açık artırma odalarında tekliflerin anlık olarak tüm kullanıcılara gecikmesiz olarak yayınlanması (broadcast) amacıyla kullanılacaktır.</w:t>
            </w:r>
            <w:r/>
          </w:p>
        </w:tc>
      </w:tr>
    </w:tbl>
    <w:p>
      <w:pPr>
        <w:pBdr/>
        <w:spacing w:after="0" w:before="240"/>
        <w:ind/>
        <w:rPr/>
      </w:pPr>
      <w:r/>
      <w:r/>
    </w:p>
    <w:p>
      <w:pPr>
        <w:keepNext w:val="true"/>
        <w:pBdr/>
        <w:spacing w:after="160" w:before="360"/>
        <w:ind/>
        <w:rPr/>
      </w:pPr>
      <w:r>
        <w:rPr>
          <w:b/>
          <w:color w:val="1b365d"/>
          <w:sz w:val="30"/>
        </w:rPr>
        <w:t xml:space="preserve">3. Veritabanı Şeması (PostgreSQL Veri Modeli)</w:t>
      </w:r>
      <w:r/>
    </w:p>
    <w:p>
      <w:pPr>
        <w:pBdr/>
        <w:spacing/>
        <w:ind/>
        <w:rPr/>
      </w:pPr>
      <w:r>
        <w:t xml:space="preserve">MVP ve ilk fazların veri tutarlılığını sağlamak amacıyla tasarlanan temel PostgreSQL ilişkisel şeması aşağıda belirtilmiştir:</w:t>
      </w:r>
      <w:r/>
    </w:p>
    <w:tbl>
      <w:tblPr>
        <w:jc w:val="center"/>
        <w:tblW w:w="0" w:type="auto"/>
        <w:tblBorders>
          <w:top w:val="single" w:color="cccccc" w:sz="4" w:space="0"/>
          <w:left w:val="none" w:color="000000" w:sz="4" w:space="0"/>
          <w:bottom w:val="single" w:color="888888" w:sz="6" w:space="0"/>
          <w:right w:val="none" w:color="000000" w:sz="4" w:space="0"/>
          <w:insideH w:val="single" w:color="e0e0e0" w:sz="4" w:space="0"/>
          <w:insideV w:val="none" w:color="000000" w:sz="4" w:space="0"/>
        </w:tblBorders>
        <w:tblLook w:val="04A0" w:firstRow="1" w:lastRow="0" w:firstColumn="1" w:lastColumn="0" w:noHBand="0" w:noVBand="1"/>
      </w:tblPr>
      <w:tblGrid>
        <w:gridCol w:w="3120"/>
        <w:gridCol w:w="3120"/>
        <w:gridCol w:w="3120"/>
      </w:tblGrid>
      <w:tr>
        <w:trPr>
          <w:cantSplit/>
          <w:tblHeader/>
        </w:trPr>
        <w:tc>
          <w:tcPr>
            <w:shd w:val="clear" w:color="auto" w:fill="1b365d"/>
            <w:tcBorders/>
            <w:tcMar>
              <w:left w:w="120" w:type="dxa"/>
              <w:top w:w="100" w:type="dxa"/>
              <w:right w:w="120" w:type="dxa"/>
              <w:bottom w:w="100" w:type="dxa"/>
            </w:tcMar>
            <w:tcW w:w="2160" w:type="dxa"/>
          </w:tcPr>
          <w:p>
            <w:pPr>
              <w:pBdr/>
              <w:spacing w:after="0" w:line="276" w:lineRule="auto"/>
              <w:ind/>
              <w:rPr/>
            </w:pPr>
            <w:r>
              <w:rPr>
                <w:rFonts w:ascii="Arial" w:hAnsi="Arial"/>
                <w:b/>
                <w:color w:val="ffffff"/>
                <w:sz w:val="19"/>
              </w:rPr>
              <w:t xml:space="preserve">Tablo Adı</w:t>
            </w:r>
            <w:r/>
          </w:p>
        </w:tc>
        <w:tc>
          <w:tcPr>
            <w:shd w:val="clear" w:color="auto" w:fill="1b365d"/>
            <w:tcBorders/>
            <w:tcMar>
              <w:left w:w="120" w:type="dxa"/>
              <w:top w:w="100" w:type="dxa"/>
              <w:right w:w="120" w:type="dxa"/>
              <w:bottom w:w="100" w:type="dxa"/>
            </w:tcMar>
            <w:tcW w:w="3312" w:type="dxa"/>
          </w:tcPr>
          <w:p>
            <w:pPr>
              <w:pBdr/>
              <w:spacing w:after="0" w:line="276" w:lineRule="auto"/>
              <w:ind/>
              <w:rPr/>
            </w:pPr>
            <w:r>
              <w:rPr>
                <w:rFonts w:ascii="Arial" w:hAnsi="Arial"/>
                <w:b/>
                <w:color w:val="ffffff"/>
                <w:sz w:val="19"/>
              </w:rPr>
              <w:t xml:space="preserve">Alanlar ve Veri Tipleri</w:t>
            </w:r>
            <w:r/>
          </w:p>
        </w:tc>
        <w:tc>
          <w:tcPr>
            <w:shd w:val="clear" w:color="auto" w:fill="1b365d"/>
            <w:tcBorders/>
            <w:tcMar>
              <w:left w:w="120" w:type="dxa"/>
              <w:top w:w="100" w:type="dxa"/>
              <w:right w:w="120" w:type="dxa"/>
              <w:bottom w:w="100" w:type="dxa"/>
            </w:tcMar>
            <w:tcW w:w="3888" w:type="dxa"/>
          </w:tcPr>
          <w:p>
            <w:pPr>
              <w:pBdr/>
              <w:spacing w:after="0" w:line="276" w:lineRule="auto"/>
              <w:ind/>
              <w:rPr/>
            </w:pPr>
            <w:r>
              <w:rPr>
                <w:rFonts w:ascii="Arial" w:hAnsi="Arial"/>
                <w:b/>
                <w:color w:val="ffffff"/>
                <w:sz w:val="19"/>
              </w:rPr>
              <w:t xml:space="preserve">Açıklama ve İlişkiler</w:t>
            </w:r>
            <w:r/>
          </w:p>
        </w:tc>
      </w:tr>
      <w:tr>
        <w:trPr>
          <w:cantSplit/>
        </w:trPr>
        <w:tc>
          <w:tcPr>
            <w:shd w:val="clear" w:color="auto" w:fill="f8fafc"/>
            <w:tcBorders/>
            <w:tcMar>
              <w:left w:w="120" w:type="dxa"/>
              <w:top w:w="100" w:type="dxa"/>
              <w:right w:w="120" w:type="dxa"/>
              <w:bottom w:w="100" w:type="dxa"/>
            </w:tcMar>
            <w:tcW w:w="2160" w:type="dxa"/>
          </w:tcPr>
          <w:p>
            <w:pPr>
              <w:pBdr/>
              <w:spacing w:after="0" w:line="276" w:lineRule="auto"/>
              <w:ind/>
              <w:rPr/>
            </w:pPr>
            <w:r>
              <w:rPr>
                <w:rFonts w:ascii="Arial" w:hAnsi="Arial"/>
                <w:b/>
                <w:sz w:val="18"/>
              </w:rPr>
              <w:t xml:space="preserve">users</w:t>
            </w:r>
            <w:r/>
          </w:p>
        </w:tc>
        <w:tc>
          <w:tcPr>
            <w:shd w:val="clear" w:color="auto" w:fill="f8fafc"/>
            <w:tcBorders/>
            <w:tcMar>
              <w:left w:w="120" w:type="dxa"/>
              <w:top w:w="100" w:type="dxa"/>
              <w:right w:w="120" w:type="dxa"/>
              <w:bottom w:w="100" w:type="dxa"/>
            </w:tcMar>
            <w:tcW w:w="3312" w:type="dxa"/>
          </w:tcPr>
          <w:p>
            <w:pPr>
              <w:pBdr/>
              <w:spacing w:after="0" w:line="276" w:lineRule="auto"/>
              <w:ind/>
              <w:rPr/>
            </w:pPr>
            <w:r>
              <w:rPr>
                <w:rFonts w:ascii="Arial" w:hAnsi="Arial"/>
                <w:sz w:val="18"/>
              </w:rPr>
              <w:t xml:space="preserve">id (UUID, PK)</w:t>
            </w:r>
            <w:r/>
          </w:p>
          <w:p>
            <w:pPr>
              <w:pBdr/>
              <w:spacing w:after="0" w:line="276" w:lineRule="auto"/>
              <w:ind/>
              <w:rPr/>
            </w:pPr>
            <w:r>
              <w:rPr>
                <w:rFonts w:ascii="Arial" w:hAnsi="Arial"/>
                <w:sz w:val="18"/>
              </w:rPr>
              <w:t xml:space="preserve">name (VARCHAR)</w:t>
            </w:r>
            <w:r/>
          </w:p>
          <w:p>
            <w:pPr>
              <w:pBdr/>
              <w:spacing w:after="0" w:line="276" w:lineRule="auto"/>
              <w:ind/>
              <w:rPr/>
            </w:pPr>
            <w:r>
              <w:rPr>
                <w:rFonts w:ascii="Arial" w:hAnsi="Arial"/>
                <w:sz w:val="18"/>
              </w:rPr>
              <w:t xml:space="preserve">email (VARCHAR, UNIQUE)</w:t>
            </w:r>
            <w:r/>
          </w:p>
          <w:p>
            <w:pPr>
              <w:pBdr/>
              <w:spacing w:after="0" w:line="276" w:lineRule="auto"/>
              <w:ind/>
              <w:rPr/>
            </w:pPr>
            <w:r>
              <w:rPr>
                <w:rFonts w:ascii="Arial" w:hAnsi="Arial"/>
                <w:sz w:val="18"/>
              </w:rPr>
              <w:t xml:space="preserve">phone (VARCHAR)</w:t>
            </w:r>
            <w:r/>
          </w:p>
          <w:p>
            <w:pPr>
              <w:pBdr/>
              <w:spacing w:after="0" w:line="276" w:lineRule="auto"/>
              <w:ind/>
              <w:rPr/>
            </w:pPr>
            <w:r>
              <w:rPr>
                <w:rFonts w:ascii="Arial" w:hAnsi="Arial"/>
                <w:sz w:val="18"/>
              </w:rPr>
              <w:t xml:space="preserve">password_hash (VARCHAR)</w:t>
            </w:r>
            <w:r/>
          </w:p>
          <w:p>
            <w:pPr>
              <w:pBdr/>
              <w:spacing w:after="0" w:line="276" w:lineRule="auto"/>
              <w:ind/>
              <w:rPr/>
            </w:pPr>
            <w:r>
              <w:rPr>
                <w:rFonts w:ascii="Arial" w:hAnsi="Arial"/>
                <w:sz w:val="18"/>
              </w:rPr>
              <w:t xml:space="preserve">role (ENUM)</w:t>
            </w:r>
            <w:r/>
          </w:p>
          <w:p>
            <w:pPr>
              <w:pBdr/>
              <w:spacing w:after="0" w:line="276" w:lineRule="auto"/>
              <w:ind/>
              <w:rPr/>
            </w:pPr>
            <w:r>
              <w:rPr>
                <w:rFonts w:ascii="Arial" w:hAnsi="Arial"/>
                <w:sz w:val="18"/>
              </w:rPr>
              <w:t xml:space="preserve">status (VARCHAR)</w:t>
            </w:r>
            <w:r/>
          </w:p>
          <w:p>
            <w:pPr>
              <w:pBdr/>
              <w:spacing w:after="0" w:line="276" w:lineRule="auto"/>
              <w:ind/>
              <w:rPr/>
            </w:pPr>
            <w:r>
              <w:rPr>
                <w:rFonts w:ascii="Arial" w:hAnsi="Arial"/>
                <w:sz w:val="18"/>
              </w:rPr>
              <w:t xml:space="preserve">created_at (TIMESTAMP)</w:t>
            </w:r>
            <w:r/>
          </w:p>
        </w:tc>
        <w:tc>
          <w:tcPr>
            <w:shd w:val="clear" w:color="auto" w:fill="f8fafc"/>
            <w:tcBorders/>
            <w:tcMar>
              <w:left w:w="120" w:type="dxa"/>
              <w:top w:w="100" w:type="dxa"/>
              <w:right w:w="120" w:type="dxa"/>
              <w:bottom w:w="100" w:type="dxa"/>
            </w:tcMar>
            <w:tcW w:w="3888" w:type="dxa"/>
          </w:tcPr>
          <w:p>
            <w:pPr>
              <w:pBdr/>
              <w:spacing w:after="0" w:line="276" w:lineRule="auto"/>
              <w:ind/>
              <w:rPr/>
            </w:pPr>
            <w:r>
              <w:rPr>
                <w:rFonts w:ascii="Arial" w:hAnsi="Arial"/>
                <w:sz w:val="18"/>
              </w:rPr>
              <w:t xml:space="preserve">Kullanıcı hesapları. Roller: buyer, seller, corporate_seller, admin.</w:t>
            </w:r>
            <w:r/>
          </w:p>
        </w:tc>
      </w:tr>
      <w:tr>
        <w:trPr>
          <w:cantSplit/>
        </w:trPr>
        <w:tc>
          <w:tcPr>
            <w:tcBorders/>
            <w:tcMar>
              <w:left w:w="120" w:type="dxa"/>
              <w:top w:w="100" w:type="dxa"/>
              <w:right w:w="120" w:type="dxa"/>
              <w:bottom w:w="100" w:type="dxa"/>
            </w:tcMar>
            <w:tcW w:w="2160" w:type="dxa"/>
          </w:tcPr>
          <w:p>
            <w:pPr>
              <w:pBdr/>
              <w:spacing w:after="0" w:line="276" w:lineRule="auto"/>
              <w:ind/>
              <w:rPr/>
            </w:pPr>
            <w:r>
              <w:rPr>
                <w:rFonts w:ascii="Arial" w:hAnsi="Arial"/>
                <w:b/>
                <w:sz w:val="18"/>
              </w:rPr>
              <w:t xml:space="preserve">auctions</w:t>
            </w:r>
            <w:r/>
          </w:p>
        </w:tc>
        <w:tc>
          <w:tcPr>
            <w:tcBorders/>
            <w:tcMar>
              <w:left w:w="120" w:type="dxa"/>
              <w:top w:w="100" w:type="dxa"/>
              <w:right w:w="120" w:type="dxa"/>
              <w:bottom w:w="100" w:type="dxa"/>
            </w:tcMar>
            <w:tcW w:w="3312" w:type="dxa"/>
          </w:tcPr>
          <w:p>
            <w:pPr>
              <w:pBdr/>
              <w:spacing w:after="0" w:line="276" w:lineRule="auto"/>
              <w:ind/>
              <w:rPr/>
            </w:pPr>
            <w:r>
              <w:rPr>
                <w:rFonts w:ascii="Arial" w:hAnsi="Arial"/>
                <w:sz w:val="18"/>
              </w:rPr>
              <w:t xml:space="preserve">id (UUID, PK)</w:t>
            </w:r>
            <w:r/>
          </w:p>
          <w:p>
            <w:pPr>
              <w:pBdr/>
              <w:spacing w:after="0" w:line="276" w:lineRule="auto"/>
              <w:ind/>
              <w:rPr/>
            </w:pPr>
            <w:r>
              <w:rPr>
                <w:rFonts w:ascii="Arial" w:hAnsi="Arial"/>
                <w:sz w:val="18"/>
              </w:rPr>
              <w:t xml:space="preserve">seller_id (UUID, FK)</w:t>
            </w:r>
            <w:r/>
          </w:p>
          <w:p>
            <w:pPr>
              <w:pBdr/>
              <w:spacing w:after="0" w:line="276" w:lineRule="auto"/>
              <w:ind/>
              <w:rPr/>
            </w:pPr>
            <w:r>
              <w:rPr>
                <w:rFonts w:ascii="Arial" w:hAnsi="Arial"/>
                <w:sz w:val="18"/>
              </w:rPr>
              <w:t xml:space="preserve">category_id (INT, FK)</w:t>
            </w:r>
            <w:r/>
          </w:p>
          <w:p>
            <w:pPr>
              <w:pBdr/>
              <w:spacing w:after="0" w:line="276" w:lineRule="auto"/>
              <w:ind/>
              <w:rPr/>
            </w:pPr>
            <w:r>
              <w:rPr>
                <w:rFonts w:ascii="Arial" w:hAnsi="Arial"/>
                <w:sz w:val="18"/>
              </w:rPr>
              <w:t xml:space="preserve">title (VARCHAR)</w:t>
            </w:r>
            <w:r/>
          </w:p>
          <w:p>
            <w:pPr>
              <w:pBdr/>
              <w:spacing w:after="0" w:line="276" w:lineRule="auto"/>
              <w:ind/>
              <w:rPr/>
            </w:pPr>
            <w:r>
              <w:rPr>
                <w:rFonts w:ascii="Arial" w:hAnsi="Arial"/>
                <w:sz w:val="18"/>
              </w:rPr>
              <w:t xml:space="preserve">description (TEXT)</w:t>
            </w:r>
            <w:r/>
          </w:p>
          <w:p>
            <w:pPr>
              <w:pBdr/>
              <w:spacing w:after="0" w:line="276" w:lineRule="auto"/>
              <w:ind/>
              <w:rPr/>
            </w:pPr>
            <w:r>
              <w:rPr>
                <w:rFonts w:ascii="Arial" w:hAnsi="Arial"/>
                <w:sz w:val="18"/>
              </w:rPr>
              <w:t xml:space="preserve">start_price (DECIMAL)</w:t>
            </w:r>
            <w:r/>
          </w:p>
          <w:p>
            <w:pPr>
              <w:pBdr/>
              <w:spacing w:after="0" w:line="276" w:lineRule="auto"/>
              <w:ind/>
              <w:rPr/>
            </w:pPr>
            <w:r>
              <w:rPr>
                <w:rFonts w:ascii="Arial" w:hAnsi="Arial"/>
                <w:sz w:val="18"/>
              </w:rPr>
              <w:t xml:space="preserve">current_price (DECIMAL)</w:t>
            </w:r>
            <w:r/>
          </w:p>
          <w:p>
            <w:pPr>
              <w:pBdr/>
              <w:spacing w:after="0" w:line="276" w:lineRule="auto"/>
              <w:ind/>
              <w:rPr/>
            </w:pPr>
            <w:r>
              <w:rPr>
                <w:rFonts w:ascii="Arial" w:hAnsi="Arial"/>
                <w:sz w:val="18"/>
              </w:rPr>
              <w:t xml:space="preserve">min_increment (DECIMAL)</w:t>
            </w:r>
            <w:r/>
          </w:p>
          <w:p>
            <w:pPr>
              <w:pBdr/>
              <w:spacing w:after="0" w:line="276" w:lineRule="auto"/>
              <w:ind/>
              <w:rPr/>
            </w:pPr>
            <w:r>
              <w:rPr>
                <w:rFonts w:ascii="Arial" w:hAnsi="Arial"/>
                <w:sz w:val="18"/>
              </w:rPr>
              <w:t xml:space="preserve">start_time (TIMESTAMP)</w:t>
            </w:r>
            <w:r/>
          </w:p>
          <w:p>
            <w:pPr>
              <w:pBdr/>
              <w:spacing w:after="0" w:line="276" w:lineRule="auto"/>
              <w:ind/>
              <w:rPr/>
            </w:pPr>
            <w:r>
              <w:rPr>
                <w:rFonts w:ascii="Arial" w:hAnsi="Arial"/>
                <w:sz w:val="18"/>
              </w:rPr>
              <w:t xml:space="preserve">end_time (TIMESTAMP)</w:t>
            </w:r>
            <w:r/>
          </w:p>
          <w:p>
            <w:pPr>
              <w:pBdr/>
              <w:spacing w:after="0" w:line="276" w:lineRule="auto"/>
              <w:ind/>
              <w:rPr/>
            </w:pPr>
            <w:r>
              <w:rPr>
                <w:rFonts w:ascii="Arial" w:hAnsi="Arial"/>
                <w:sz w:val="18"/>
              </w:rPr>
              <w:t xml:space="preserve">status (ENUM)</w:t>
            </w:r>
            <w:r/>
          </w:p>
          <w:p>
            <w:pPr>
              <w:pBdr/>
              <w:spacing w:after="0" w:line="276" w:lineRule="auto"/>
              <w:ind/>
              <w:rPr/>
            </w:pPr>
            <w:r>
              <w:rPr>
                <w:rFonts w:ascii="Arial" w:hAnsi="Arial"/>
                <w:sz w:val="18"/>
              </w:rPr>
              <w:t xml:space="preserve">winner_user_id (UUID, FK)</w:t>
            </w:r>
            <w:r/>
          </w:p>
          <w:p>
            <w:pPr>
              <w:pBdr/>
              <w:spacing w:after="0" w:line="276" w:lineRule="auto"/>
              <w:ind/>
              <w:rPr/>
            </w:pPr>
            <w:r>
              <w:rPr>
                <w:rFonts w:ascii="Arial" w:hAnsi="Arial"/>
                <w:sz w:val="18"/>
              </w:rPr>
              <w:t xml:space="preserve">created_at (TIMESTAMP)</w:t>
            </w:r>
            <w:r/>
          </w:p>
        </w:tc>
        <w:tc>
          <w:tcPr>
            <w:tcBorders/>
            <w:tcMar>
              <w:left w:w="120" w:type="dxa"/>
              <w:top w:w="100" w:type="dxa"/>
              <w:right w:w="120" w:type="dxa"/>
              <w:bottom w:w="100" w:type="dxa"/>
            </w:tcMar>
            <w:tcW w:w="3888" w:type="dxa"/>
          </w:tcPr>
          <w:p>
            <w:pPr>
              <w:pBdr/>
              <w:spacing w:after="0" w:line="276" w:lineRule="auto"/>
              <w:ind/>
              <w:rPr/>
            </w:pPr>
            <w:r>
              <w:rPr>
                <w:rFonts w:ascii="Arial" w:hAnsi="Arial"/>
                <w:sz w:val="18"/>
              </w:rPr>
              <w:t xml:space="preserve">Açık artırma ilanları. Durumlar: pending_approval, active, completed, cancelled. Admin onayı şarttır.</w:t>
            </w:r>
            <w:r/>
          </w:p>
        </w:tc>
      </w:tr>
      <w:tr>
        <w:trPr>
          <w:cantSplit/>
        </w:trPr>
        <w:tc>
          <w:tcPr>
            <w:shd w:val="clear" w:color="auto" w:fill="f8fafc"/>
            <w:tcBorders/>
            <w:tcMar>
              <w:left w:w="120" w:type="dxa"/>
              <w:top w:w="100" w:type="dxa"/>
              <w:right w:w="120" w:type="dxa"/>
              <w:bottom w:w="100" w:type="dxa"/>
            </w:tcMar>
            <w:tcW w:w="2160" w:type="dxa"/>
          </w:tcPr>
          <w:p>
            <w:pPr>
              <w:pBdr/>
              <w:spacing w:after="0" w:line="276" w:lineRule="auto"/>
              <w:ind/>
              <w:rPr/>
            </w:pPr>
            <w:r>
              <w:rPr>
                <w:rFonts w:ascii="Arial" w:hAnsi="Arial"/>
                <w:b/>
                <w:sz w:val="18"/>
              </w:rPr>
              <w:t xml:space="preserve">bids</w:t>
            </w:r>
            <w:r/>
          </w:p>
        </w:tc>
        <w:tc>
          <w:tcPr>
            <w:shd w:val="clear" w:color="auto" w:fill="f8fafc"/>
            <w:tcBorders/>
            <w:tcMar>
              <w:left w:w="120" w:type="dxa"/>
              <w:top w:w="100" w:type="dxa"/>
              <w:right w:w="120" w:type="dxa"/>
              <w:bottom w:w="100" w:type="dxa"/>
            </w:tcMar>
            <w:tcW w:w="3312" w:type="dxa"/>
          </w:tcPr>
          <w:p>
            <w:pPr>
              <w:pBdr/>
              <w:spacing w:after="0" w:line="276" w:lineRule="auto"/>
              <w:ind/>
              <w:rPr/>
            </w:pPr>
            <w:r>
              <w:rPr>
                <w:rFonts w:ascii="Arial" w:hAnsi="Arial"/>
                <w:sz w:val="18"/>
              </w:rPr>
              <w:t xml:space="preserve">id (UUID, PK)</w:t>
            </w:r>
            <w:r/>
          </w:p>
          <w:p>
            <w:pPr>
              <w:pBdr/>
              <w:spacing w:after="0" w:line="276" w:lineRule="auto"/>
              <w:ind/>
              <w:rPr/>
            </w:pPr>
            <w:r>
              <w:rPr>
                <w:rFonts w:ascii="Arial" w:hAnsi="Arial"/>
                <w:sz w:val="18"/>
              </w:rPr>
              <w:t xml:space="preserve">auction_id (UUID, FK)</w:t>
            </w:r>
            <w:r/>
          </w:p>
          <w:p>
            <w:pPr>
              <w:pBdr/>
              <w:spacing w:after="0" w:line="276" w:lineRule="auto"/>
              <w:ind/>
              <w:rPr/>
            </w:pPr>
            <w:r>
              <w:rPr>
                <w:rFonts w:ascii="Arial" w:hAnsi="Arial"/>
                <w:sz w:val="18"/>
              </w:rPr>
              <w:t xml:space="preserve">user_id (UUID, FK)</w:t>
            </w:r>
            <w:r/>
          </w:p>
          <w:p>
            <w:pPr>
              <w:pBdr/>
              <w:spacing w:after="0" w:line="276" w:lineRule="auto"/>
              <w:ind/>
              <w:rPr/>
            </w:pPr>
            <w:r>
              <w:rPr>
                <w:rFonts w:ascii="Arial" w:hAnsi="Arial"/>
                <w:sz w:val="18"/>
              </w:rPr>
              <w:t xml:space="preserve">amount (DECIMAL)</w:t>
            </w:r>
            <w:r/>
          </w:p>
          <w:p>
            <w:pPr>
              <w:pBdr/>
              <w:spacing w:after="0" w:line="276" w:lineRule="auto"/>
              <w:ind/>
              <w:rPr/>
            </w:pPr>
            <w:r>
              <w:rPr>
                <w:rFonts w:ascii="Arial" w:hAnsi="Arial"/>
                <w:sz w:val="18"/>
              </w:rPr>
              <w:t xml:space="preserve">created_at (TIMESTAMP)</w:t>
            </w:r>
            <w:r/>
          </w:p>
          <w:p>
            <w:pPr>
              <w:pBdr/>
              <w:spacing w:after="0" w:line="276" w:lineRule="auto"/>
              <w:ind/>
              <w:rPr/>
            </w:pPr>
            <w:r>
              <w:rPr>
                <w:rFonts w:ascii="Arial" w:hAnsi="Arial"/>
                <w:sz w:val="18"/>
              </w:rPr>
              <w:t xml:space="preserve">ip_address (INET)</w:t>
            </w:r>
            <w:r/>
          </w:p>
        </w:tc>
        <w:tc>
          <w:tcPr>
            <w:shd w:val="clear" w:color="auto" w:fill="f8fafc"/>
            <w:tcBorders/>
            <w:tcMar>
              <w:left w:w="120" w:type="dxa"/>
              <w:top w:w="100" w:type="dxa"/>
              <w:right w:w="120" w:type="dxa"/>
              <w:bottom w:w="100" w:type="dxa"/>
            </w:tcMar>
            <w:tcW w:w="3888" w:type="dxa"/>
          </w:tcPr>
          <w:p>
            <w:pPr>
              <w:pBdr/>
              <w:spacing w:after="0" w:line="276" w:lineRule="auto"/>
              <w:ind/>
              <w:rPr/>
            </w:pPr>
            <w:r>
              <w:rPr>
                <w:rFonts w:ascii="Arial" w:hAnsi="Arial"/>
                <w:sz w:val="18"/>
              </w:rPr>
              <w:t xml:space="preserve">Teklif geçmişi. Teklif manipülasyonunu engellemek için zaman damgası ve IP adresi zorunlu tutulur.</w:t>
            </w:r>
            <w:r/>
          </w:p>
        </w:tc>
      </w:tr>
      <w:tr>
        <w:trPr>
          <w:cantSplit/>
        </w:trPr>
        <w:tc>
          <w:tcPr>
            <w:tcBorders/>
            <w:tcMar>
              <w:left w:w="120" w:type="dxa"/>
              <w:top w:w="100" w:type="dxa"/>
              <w:right w:w="120" w:type="dxa"/>
              <w:bottom w:w="100" w:type="dxa"/>
            </w:tcMar>
            <w:tcW w:w="2160" w:type="dxa"/>
          </w:tcPr>
          <w:p>
            <w:pPr>
              <w:pBdr/>
              <w:spacing w:after="0" w:line="276" w:lineRule="auto"/>
              <w:ind/>
              <w:rPr/>
            </w:pPr>
            <w:r>
              <w:rPr>
                <w:rFonts w:ascii="Arial" w:hAnsi="Arial"/>
                <w:b/>
                <w:sz w:val="18"/>
              </w:rPr>
              <w:t xml:space="preserve">auction_images</w:t>
            </w:r>
            <w:r/>
          </w:p>
        </w:tc>
        <w:tc>
          <w:tcPr>
            <w:tcBorders/>
            <w:tcMar>
              <w:left w:w="120" w:type="dxa"/>
              <w:top w:w="100" w:type="dxa"/>
              <w:right w:w="120" w:type="dxa"/>
              <w:bottom w:w="100" w:type="dxa"/>
            </w:tcMar>
            <w:tcW w:w="3312" w:type="dxa"/>
          </w:tcPr>
          <w:p>
            <w:pPr>
              <w:pBdr/>
              <w:spacing w:after="0" w:line="276" w:lineRule="auto"/>
              <w:ind/>
              <w:rPr/>
            </w:pPr>
            <w:r>
              <w:rPr>
                <w:rFonts w:ascii="Arial" w:hAnsi="Arial"/>
                <w:sz w:val="18"/>
              </w:rPr>
              <w:t xml:space="preserve">id (UUID, PK)</w:t>
            </w:r>
            <w:r/>
          </w:p>
          <w:p>
            <w:pPr>
              <w:pBdr/>
              <w:spacing w:after="0" w:line="276" w:lineRule="auto"/>
              <w:ind/>
              <w:rPr/>
            </w:pPr>
            <w:r>
              <w:rPr>
                <w:rFonts w:ascii="Arial" w:hAnsi="Arial"/>
                <w:sz w:val="18"/>
              </w:rPr>
              <w:t xml:space="preserve">auction_id (UUID, FK)</w:t>
            </w:r>
            <w:r/>
          </w:p>
          <w:p>
            <w:pPr>
              <w:pBdr/>
              <w:spacing w:after="0" w:line="276" w:lineRule="auto"/>
              <w:ind/>
              <w:rPr/>
            </w:pPr>
            <w:r>
              <w:rPr>
                <w:rFonts w:ascii="Arial" w:hAnsi="Arial"/>
                <w:sz w:val="18"/>
              </w:rPr>
              <w:t xml:space="preserve">image_url (VARCHAR)</w:t>
            </w:r>
            <w:r/>
          </w:p>
          <w:p>
            <w:pPr>
              <w:pBdr/>
              <w:spacing w:after="0" w:line="276" w:lineRule="auto"/>
              <w:ind/>
              <w:rPr/>
            </w:pPr>
            <w:r>
              <w:rPr>
                <w:rFonts w:ascii="Arial" w:hAnsi="Arial"/>
                <w:sz w:val="18"/>
              </w:rPr>
              <w:t xml:space="preserve">sort_order (INT)</w:t>
            </w:r>
            <w:r/>
          </w:p>
        </w:tc>
        <w:tc>
          <w:tcPr>
            <w:tcBorders/>
            <w:tcMar>
              <w:left w:w="120" w:type="dxa"/>
              <w:top w:w="100" w:type="dxa"/>
              <w:right w:w="120" w:type="dxa"/>
              <w:bottom w:w="100" w:type="dxa"/>
            </w:tcMar>
            <w:tcW w:w="3888" w:type="dxa"/>
          </w:tcPr>
          <w:p>
            <w:pPr>
              <w:pBdr/>
              <w:spacing w:after="0" w:line="276" w:lineRule="auto"/>
              <w:ind/>
              <w:rPr/>
            </w:pPr>
            <w:r>
              <w:rPr>
                <w:rFonts w:ascii="Arial" w:hAnsi="Arial"/>
                <w:sz w:val="18"/>
              </w:rPr>
              <w:t xml:space="preserve">Araç ve ürün fotoğraflarının S3 üzerindeki adresleri ve sıralaması.</w:t>
            </w:r>
            <w:r/>
          </w:p>
        </w:tc>
      </w:tr>
      <w:tr>
        <w:trPr>
          <w:cantSplit/>
        </w:trPr>
        <w:tc>
          <w:tcPr>
            <w:shd w:val="clear" w:color="auto" w:fill="f8fafc"/>
            <w:tcBorders/>
            <w:tcMar>
              <w:left w:w="120" w:type="dxa"/>
              <w:top w:w="100" w:type="dxa"/>
              <w:right w:w="120" w:type="dxa"/>
              <w:bottom w:w="100" w:type="dxa"/>
            </w:tcMar>
            <w:tcW w:w="2160" w:type="dxa"/>
          </w:tcPr>
          <w:p>
            <w:pPr>
              <w:pBdr/>
              <w:spacing w:after="0" w:line="276" w:lineRule="auto"/>
              <w:ind/>
              <w:rPr/>
            </w:pPr>
            <w:r>
              <w:rPr>
                <w:rFonts w:ascii="Arial" w:hAnsi="Arial"/>
                <w:b/>
                <w:sz w:val="18"/>
              </w:rPr>
              <w:t xml:space="preserve">categories</w:t>
            </w:r>
            <w:r/>
          </w:p>
        </w:tc>
        <w:tc>
          <w:tcPr>
            <w:shd w:val="clear" w:color="auto" w:fill="f8fafc"/>
            <w:tcBorders/>
            <w:tcMar>
              <w:left w:w="120" w:type="dxa"/>
              <w:top w:w="100" w:type="dxa"/>
              <w:right w:w="120" w:type="dxa"/>
              <w:bottom w:w="100" w:type="dxa"/>
            </w:tcMar>
            <w:tcW w:w="3312" w:type="dxa"/>
          </w:tcPr>
          <w:p>
            <w:pPr>
              <w:pBdr/>
              <w:spacing w:after="0" w:line="276" w:lineRule="auto"/>
              <w:ind/>
              <w:rPr/>
            </w:pPr>
            <w:r>
              <w:rPr>
                <w:rFonts w:ascii="Arial" w:hAnsi="Arial"/>
                <w:sz w:val="18"/>
              </w:rPr>
              <w:t xml:space="preserve">id (SERIAL, PK)</w:t>
            </w:r>
            <w:r/>
          </w:p>
          <w:p>
            <w:pPr>
              <w:pBdr/>
              <w:spacing w:after="0" w:line="276" w:lineRule="auto"/>
              <w:ind/>
              <w:rPr/>
            </w:pPr>
            <w:r>
              <w:rPr>
                <w:rFonts w:ascii="Arial" w:hAnsi="Arial"/>
                <w:sz w:val="18"/>
              </w:rPr>
              <w:t xml:space="preserve">name (VARCHAR)</w:t>
            </w:r>
            <w:r/>
          </w:p>
          <w:p>
            <w:pPr>
              <w:pBdr/>
              <w:spacing w:after="0" w:line="276" w:lineRule="auto"/>
              <w:ind/>
              <w:rPr/>
            </w:pPr>
            <w:r>
              <w:rPr>
                <w:rFonts w:ascii="Arial" w:hAnsi="Arial"/>
                <w:sz w:val="18"/>
              </w:rPr>
              <w:t xml:space="preserve">slug (VARCHAR)</w:t>
            </w:r>
            <w:r/>
          </w:p>
          <w:p>
            <w:pPr>
              <w:pBdr/>
              <w:spacing w:after="0" w:line="276" w:lineRule="auto"/>
              <w:ind/>
              <w:rPr/>
            </w:pPr>
            <w:r>
              <w:rPr>
                <w:rFonts w:ascii="Arial" w:hAnsi="Arial"/>
                <w:sz w:val="18"/>
              </w:rPr>
              <w:t xml:space="preserve">parent_id (INT, FK)</w:t>
            </w:r>
            <w:r/>
          </w:p>
          <w:p>
            <w:pPr>
              <w:pBdr/>
              <w:spacing w:after="0" w:line="276" w:lineRule="auto"/>
              <w:ind/>
              <w:rPr/>
            </w:pPr>
            <w:r>
              <w:rPr>
                <w:rFonts w:ascii="Arial" w:hAnsi="Arial"/>
                <w:sz w:val="18"/>
              </w:rPr>
              <w:t xml:space="preserve">status (VARCHAR)</w:t>
            </w:r>
            <w:r/>
          </w:p>
        </w:tc>
        <w:tc>
          <w:tcPr>
            <w:shd w:val="clear" w:color="auto" w:fill="f8fafc"/>
            <w:tcBorders/>
            <w:tcMar>
              <w:left w:w="120" w:type="dxa"/>
              <w:top w:w="100" w:type="dxa"/>
              <w:right w:w="120" w:type="dxa"/>
              <w:bottom w:w="100" w:type="dxa"/>
            </w:tcMar>
            <w:tcW w:w="3888" w:type="dxa"/>
          </w:tcPr>
          <w:p>
            <w:pPr>
              <w:pBdr/>
              <w:spacing w:after="0" w:line="276" w:lineRule="auto"/>
              <w:ind/>
              <w:rPr/>
            </w:pPr>
            <w:r>
              <w:rPr>
                <w:rFonts w:ascii="Arial" w:hAnsi="Arial"/>
                <w:sz w:val="18"/>
              </w:rPr>
              <w:t xml:space="preserve">Kategori yönetimi (Araçlar, Ekipmanlar, Genel vb.).</w:t>
            </w:r>
            <w:r/>
          </w:p>
        </w:tc>
      </w:tr>
      <w:tr>
        <w:trPr>
          <w:cantSplit/>
        </w:trPr>
        <w:tc>
          <w:tcPr>
            <w:tcBorders/>
            <w:tcMar>
              <w:left w:w="120" w:type="dxa"/>
              <w:top w:w="100" w:type="dxa"/>
              <w:right w:w="120" w:type="dxa"/>
              <w:bottom w:w="100" w:type="dxa"/>
            </w:tcMar>
            <w:tcW w:w="2160" w:type="dxa"/>
          </w:tcPr>
          <w:p>
            <w:pPr>
              <w:pBdr/>
              <w:spacing w:after="0" w:line="276" w:lineRule="auto"/>
              <w:ind/>
              <w:rPr/>
            </w:pPr>
            <w:r>
              <w:rPr>
                <w:rFonts w:ascii="Arial" w:hAnsi="Arial"/>
                <w:b/>
                <w:sz w:val="18"/>
              </w:rPr>
              <w:t xml:space="preserve">audit_logs</w:t>
            </w:r>
            <w:r/>
          </w:p>
        </w:tc>
        <w:tc>
          <w:tcPr>
            <w:tcBorders/>
            <w:tcMar>
              <w:left w:w="120" w:type="dxa"/>
              <w:top w:w="100" w:type="dxa"/>
              <w:right w:w="120" w:type="dxa"/>
              <w:bottom w:w="100" w:type="dxa"/>
            </w:tcMar>
            <w:tcW w:w="3312" w:type="dxa"/>
          </w:tcPr>
          <w:p>
            <w:pPr>
              <w:pBdr/>
              <w:spacing w:after="0" w:line="276" w:lineRule="auto"/>
              <w:ind/>
              <w:rPr/>
            </w:pPr>
            <w:r>
              <w:rPr>
                <w:rFonts w:ascii="Arial" w:hAnsi="Arial"/>
                <w:sz w:val="18"/>
              </w:rPr>
              <w:t xml:space="preserve">id (UUID, PK)</w:t>
            </w:r>
            <w:r/>
          </w:p>
          <w:p>
            <w:pPr>
              <w:pBdr/>
              <w:spacing w:after="0" w:line="276" w:lineRule="auto"/>
              <w:ind/>
              <w:rPr/>
            </w:pPr>
            <w:r>
              <w:rPr>
                <w:rFonts w:ascii="Arial" w:hAnsi="Arial"/>
                <w:sz w:val="18"/>
              </w:rPr>
              <w:t xml:space="preserve">user_id (UUID, FK)</w:t>
            </w:r>
            <w:r/>
          </w:p>
          <w:p>
            <w:pPr>
              <w:pBdr/>
              <w:spacing w:after="0" w:line="276" w:lineRule="auto"/>
              <w:ind/>
              <w:rPr/>
            </w:pPr>
            <w:r>
              <w:rPr>
                <w:rFonts w:ascii="Arial" w:hAnsi="Arial"/>
                <w:sz w:val="18"/>
              </w:rPr>
              <w:t xml:space="preserve">action (VARCHAR)</w:t>
            </w:r>
            <w:r/>
          </w:p>
          <w:p>
            <w:pPr>
              <w:pBdr/>
              <w:spacing w:after="0" w:line="276" w:lineRule="auto"/>
              <w:ind/>
              <w:rPr/>
            </w:pPr>
            <w:r>
              <w:rPr>
                <w:rFonts w:ascii="Arial" w:hAnsi="Arial"/>
                <w:sz w:val="18"/>
              </w:rPr>
              <w:t xml:space="preserve">entity_type (VARCHAR)</w:t>
            </w:r>
            <w:r/>
          </w:p>
          <w:p>
            <w:pPr>
              <w:pBdr/>
              <w:spacing w:after="0" w:line="276" w:lineRule="auto"/>
              <w:ind/>
              <w:rPr/>
            </w:pPr>
            <w:r>
              <w:rPr>
                <w:rFonts w:ascii="Arial" w:hAnsi="Arial"/>
                <w:sz w:val="18"/>
              </w:rPr>
              <w:t xml:space="preserve">entity_id (UUID)</w:t>
            </w:r>
            <w:r/>
          </w:p>
          <w:p>
            <w:pPr>
              <w:pBdr/>
              <w:spacing w:after="0" w:line="276" w:lineRule="auto"/>
              <w:ind/>
              <w:rPr/>
            </w:pPr>
            <w:r>
              <w:rPr>
                <w:rFonts w:ascii="Arial" w:hAnsi="Arial"/>
                <w:sz w:val="18"/>
              </w:rPr>
              <w:t xml:space="preserve">created_at (TIMESTAMP)</w:t>
            </w:r>
            <w:r/>
          </w:p>
        </w:tc>
        <w:tc>
          <w:tcPr>
            <w:tcBorders/>
            <w:tcMar>
              <w:left w:w="120" w:type="dxa"/>
              <w:top w:w="100" w:type="dxa"/>
              <w:right w:w="120" w:type="dxa"/>
              <w:bottom w:w="100" w:type="dxa"/>
            </w:tcMar>
            <w:tcW w:w="3888" w:type="dxa"/>
          </w:tcPr>
          <w:p>
            <w:pPr>
              <w:pBdr/>
              <w:spacing w:after="0" w:line="276" w:lineRule="auto"/>
              <w:ind/>
              <w:rPr/>
            </w:pPr>
            <w:r>
              <w:rPr>
                <w:rFonts w:ascii="Arial" w:hAnsi="Arial"/>
                <w:sz w:val="18"/>
              </w:rPr>
              <w:t xml:space="preserve">Güvenlik ve operasyon izleme logları. Kritik işlemler geriye dönük değiştirilemez.</w:t>
            </w:r>
            <w:r/>
          </w:p>
        </w:tc>
      </w:tr>
    </w:tbl>
    <w:p>
      <w:pPr>
        <w:pBdr/>
        <w:spacing w:after="0" w:before="240"/>
        <w:ind/>
        <w:rPr/>
      </w:pPr>
      <w:r/>
      <w:r/>
    </w:p>
    <w:p>
      <w:pPr>
        <w:keepNext w:val="true"/>
        <w:pBdr/>
        <w:spacing w:after="160" w:before="360"/>
        <w:ind/>
        <w:rPr/>
      </w:pPr>
      <w:r>
        <w:rPr>
          <w:b/>
          <w:color w:val="1b365d"/>
          <w:sz w:val="30"/>
        </w:rPr>
        <w:t xml:space="preserve">4. Canlı Teklif Motoru (Bidding Engine) Mimarisi ve İş Akışı</w:t>
      </w:r>
      <w:r/>
    </w:p>
    <w:p>
      <w:pPr>
        <w:pBdr/>
        <w:spacing/>
        <w:ind/>
        <w:rPr/>
      </w:pPr>
      <w:r>
        <w:t xml:space="preserve">Sistemin en kritik bileşeni olan teklif motoru, eşzamanlılık (concurrency) sorunlarını ve yarış durumlarını (race conditions) sıfıra indirmek üzere tasarlanmıştır:</w:t>
      </w:r>
      <w:r/>
    </w:p>
    <w:p>
      <w:pPr>
        <w:pStyle w:val="726"/>
        <w:pBdr/>
        <w:spacing w:after="120" w:line="300" w:lineRule="auto"/>
        <w:ind/>
        <w:rPr/>
      </w:pPr>
      <w:r>
        <w:rPr>
          <w:b/>
        </w:rPr>
        <w:t xml:space="preserve">Oda Yönetimi: </w:t>
      </w:r>
      <w:r>
        <w:t xml:space="preserve">Kullanıcı bir açık artırma detay sayfasına girdiğinde, FastAPI üzerinde ilgili açık artırma ID'sine ait bir WebSocket odasına (room) dahil edilir.</w:t>
      </w:r>
      <w:r/>
    </w:p>
    <w:p>
      <w:pPr>
        <w:pStyle w:val="726"/>
        <w:pBdr/>
        <w:spacing w:after="120" w:line="300" w:lineRule="auto"/>
        <w:ind/>
        <w:rPr/>
      </w:pPr>
      <w:r>
        <w:rPr>
          <w:b/>
        </w:rPr>
        <w:t xml:space="preserve">Teklif Validasyonu: </w:t>
      </w:r>
      <w:r>
        <w:t xml:space="preserve">Kullanıcı bir teklif gönderdiğinde backend şu kontrol</w:t>
      </w:r>
      <w:r>
        <w:t xml:space="preserve">leri yapar:</w:t>
        <w:br/>
        <w:t xml:space="preserve">• Gönderilen teklif tutarı, mevcut en yüksek fiyattan (current_price) ve belirlenen minimum artış miktarından (min_increment) büyük mü?</w:t>
        <w:br/>
        <w:t xml:space="preserve">• Açık artırma süresi (end_time) dolmuş mu?</w:t>
        <w:br/>
        <w:t xml:space="preserve">• Teklif veren kullanıcı geçerli bir hesaba ve profile sahip mi?</w:t>
      </w:r>
      <w:r/>
    </w:p>
    <w:p>
      <w:pPr>
        <w:pStyle w:val="726"/>
        <w:pBdr/>
        <w:spacing w:after="120" w:line="300" w:lineRule="auto"/>
        <w:ind/>
        <w:rPr/>
      </w:pPr>
      <w:r>
        <w:rPr>
          <w:b/>
        </w:rPr>
        <w:t xml:space="preserve">Eşzamanlılık Kontrolü (Race Condition): </w:t>
      </w:r>
      <w:r>
        <w:t xml:space="preserve">Aynı milisaniye</w:t>
      </w:r>
      <w:r>
        <w:t xml:space="preserve"> içerisinde birden fazla kullanıcı teklif verdiğinde veritabanında tutarsızlık oluşmaması için PostgreSQL tarafında satır düzeyinde kilitleme (SELECT ... FOR UPDATE) mekanizması tetiklenir. Bu sayede ilk gelen istek işlenirken diğer istekler sıraya alınır.</w:t>
      </w:r>
      <w:r/>
    </w:p>
    <w:p>
      <w:pPr>
        <w:pStyle w:val="726"/>
        <w:pBdr/>
        <w:spacing w:after="120" w:line="300" w:lineRule="auto"/>
        <w:ind/>
        <w:rPr/>
      </w:pPr>
      <w:r>
        <w:rPr>
          <w:b/>
        </w:rPr>
        <w:t xml:space="preserve">Süre Uzatma Mekanizması: </w:t>
      </w:r>
      <w:r>
        <w:t xml:space="preserve">Eğer açık artırmanın bitmesine çok kısa bir süre kalmışsa (örneğin son 2 dakika) ve yeni bir geçerli teklif gelirse, ihale süresi (end_time) otomatik olarak belirlenen süre kadar (örneğin 2 dakika daha) uzatılır.</w:t>
      </w:r>
      <w:r/>
    </w:p>
    <w:p>
      <w:pPr>
        <w:pStyle w:val="726"/>
        <w:pBdr/>
        <w:spacing w:after="120" w:line="300" w:lineRule="auto"/>
        <w:ind/>
        <w:rPr/>
      </w:pPr>
      <w:r>
        <w:rPr>
          <w:b/>
        </w:rPr>
        <w:t xml:space="preserve">Yayın (Broadcast): </w:t>
      </w:r>
      <w:r>
        <w:t xml:space="preserve">Geçerli teklif veritabanına başarıyla yazıldıktan sonra, o odada bağlı olan tüm WebSocket istemcilerine yeni fiyat ve teklif sahibinin anonimleştirilmiş bilgisi anlık olarak push edilir.</w:t>
      </w:r>
      <w:r/>
    </w:p>
    <w:p>
      <w:pPr>
        <w:keepNext w:val="true"/>
        <w:pBdr/>
        <w:spacing w:after="160" w:before="360"/>
        <w:ind/>
        <w:rPr/>
      </w:pPr>
      <w:r>
        <w:rPr>
          <w:b/>
          <w:color w:val="1b365d"/>
          <w:sz w:val="30"/>
        </w:rPr>
        <w:t xml:space="preserve">5. Güvenlik, API Standartları ve Rol Yönetimi</w:t>
      </w:r>
      <w:r/>
    </w:p>
    <w:p>
      <w:pPr>
        <w:pBdr/>
        <w:spacing/>
        <w:ind/>
        <w:rPr/>
      </w:pPr>
      <w:r>
        <w:t xml:space="preserve">Sistemin güvenliği ticari modelin başarısı için elzemdir. Alınacak temel önlemler:</w:t>
      </w:r>
      <w:r/>
    </w:p>
    <w:p>
      <w:pPr>
        <w:pStyle w:val="723"/>
        <w:pBdr/>
        <w:spacing w:after="120" w:line="300" w:lineRule="auto"/>
        <w:ind/>
        <w:rPr/>
      </w:pPr>
      <w:r>
        <w:rPr>
          <w:b/>
        </w:rPr>
        <w:t xml:space="preserve">Kimlik Doğrulama: </w:t>
      </w:r>
      <w:r>
        <w:t xml:space="preserve">API istekleri için stateless ve güvenli JWT (JSON Web Tokens) yapısı kullanılacaktır.</w:t>
      </w:r>
      <w:r/>
    </w:p>
    <w:p>
      <w:pPr>
        <w:pStyle w:val="723"/>
        <w:pBdr/>
        <w:spacing w:after="120" w:line="300" w:lineRule="auto"/>
        <w:ind/>
        <w:rPr/>
      </w:pPr>
      <w:r>
        <w:rPr>
          <w:b/>
        </w:rPr>
        <w:t xml:space="preserve">Rol Tabanlı Yetkilendirme (RBAC): </w:t>
      </w:r>
      <w:r>
        <w:t xml:space="preserve">Alıcı, Satıcı, Kurumsal Satıcı og Admin rolleri için endpoint seviyesinde dekoratörler/middleware aracılığıyla sıkı yetki kontrolleri yapılacaktır. Örneğin, admin onayı olmadan ilanların aktifleştirilmesi engellenecektir.</w:t>
      </w:r>
      <w:r/>
    </w:p>
    <w:p>
      <w:pPr>
        <w:pStyle w:val="723"/>
        <w:pBdr/>
        <w:spacing w:after="120" w:line="300" w:lineRule="auto"/>
        <w:ind/>
        <w:rPr/>
      </w:pPr>
      <w:r>
        <w:rPr>
          <w:b/>
        </w:rPr>
        <w:t xml:space="preserve">Hız Sınırlandırma (Rate Limiting): </w:t>
      </w:r>
      <w:r>
        <w:t xml:space="preserve">Sahte teklif botlarını ve spam istekleri engellemek amacıyla Cloudflare WAF kurallarına ek olarak, FastAPI katmanında Redis tabanlı rate-limiting uygulanacaktır.</w:t>
      </w:r>
      <w:r/>
    </w:p>
    <w:p>
      <w:pPr>
        <w:pStyle w:val="723"/>
        <w:pBdr/>
        <w:spacing w:after="120" w:line="300" w:lineRule="auto"/>
        <w:ind/>
        <w:rPr/>
      </w:pPr>
      <w:r>
        <w:rPr>
          <w:b/>
        </w:rPr>
        <w:t xml:space="preserve">Değiştirilemez Günlükler (Audit Logs): </w:t>
      </w:r>
      <w:r>
        <w:t xml:space="preserve">Teklif silme veya manipülasyon riskine karşı veritabanından teklif silme yetkisi tamamen kapatılacak, tüm kritik hareketler audit_logs tablosunda immutable olarak saklanacaktır.</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60" w:line="300" w:lineRule="auto"/>
      <w:ind/>
    </w:pPr>
    <w:rPr>
      <w:rFonts w:ascii="Arial" w:hAnsi="Arial"/>
      <w:color w:val="333333"/>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2026-06-11T13:44:25Z</dcterms:modified>
  <cp:category/>
</cp:coreProperties>
</file>