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200"/>
        <w:jc w:val="center"/>
      </w:pPr>
      <w:r>
        <w:drawing>
          <wp:inline distT="0" distB="0" distL="0" distR="0">
            <wp:extent cx="61722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476625"/>
                    </a:xfrm>
                    <a:prstGeom prst="rect">
                      <a:avLst/>
                    </a:prstGeom>
                  </pic:spPr>
                </pic:pic>
              </a:graphicData>
            </a:graphic>
          </wp:inline>
        </w:drawing>
      </w:r>
    </w:p>
    <w:p>
      <w:pPr>
        <w:spacing w:after="100"/>
        <w:jc w:val="center"/>
      </w:pPr>
      <w:r>
        <w:rPr>
          <w:rFonts w:ascii="Calibri" w:cs="Calibri" w:eastAsia="Calibri" w:hAnsi="Calibri"/>
          <w:b/>
          <w:bCs/>
          <w:color w:val="0B2A5E"/>
          <w:sz w:val="44"/>
          <w:szCs w:val="44"/>
        </w:rPr>
        <w:t xml:space="preserve">User Manual</w:t>
      </w:r>
    </w:p>
    <w:p>
      <w:pPr>
        <w:pBdr>
          <w:bottom w:val="single" w:color="1E8E5A" w:sz="10" w:space="10"/>
        </w:pBdr>
        <w:spacing w:after="60"/>
        <w:jc w:val="center"/>
      </w:pPr>
      <w:r>
        <w:rPr>
          <w:rFonts w:ascii="Calibri" w:cs="Calibri" w:eastAsia="Calibri" w:hAnsi="Calibri"/>
          <w:b/>
          <w:bCs/>
          <w:color w:val="1E8E5A"/>
          <w:sz w:val="26"/>
          <w:szCs w:val="26"/>
        </w:rPr>
        <w:t xml:space="preserve">USER ACCOUNT</w:t>
      </w:r>
    </w:p>
    <w:p>
      <w:pPr>
        <w:spacing w:after="1600" w:before="500"/>
        <w:jc w:val="center"/>
      </w:pPr>
      <w:r>
        <w:rPr>
          <w:rFonts w:ascii="Calibri" w:cs="Calibri" w:eastAsia="Calibri" w:hAnsi="Calibri"/>
          <w:color w:val="4B5563"/>
          <w:sz w:val="20"/>
          <w:szCs w:val="20"/>
        </w:rPr>
        <w:t xml:space="preserve">A guide to day-to-day bookkeeping in ARbixo: recording transactions, reviewing history, and generating reports.</w:t>
      </w:r>
    </w:p>
    <w:p>
      <w:pPr>
        <w:jc w:val="center"/>
      </w:pPr>
      <w:r>
        <w:rPr>
          <w:rFonts w:ascii="Calibri" w:cs="Calibri" w:eastAsia="Calibri" w:hAnsi="Calibri"/>
          <w:color w:val="9CA3AF"/>
          <w:sz w:val="17"/>
          <w:szCs w:val="17"/>
        </w:rPr>
        <w:t xml:space="preserve">www.arbixo.net</w:t>
      </w:r>
    </w:p>
    <w:p>
      <w:r>
        <w:br w:type="page"/>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1. Getting Started</w:t>
      </w:r>
    </w:p>
    <w:p>
      <w:pPr>
        <w:spacing w:after="140" w:line="276"/>
        <w:jc w:val="both"/>
      </w:pPr>
      <w:r>
        <w:rPr>
          <w:rFonts w:ascii="Calibri" w:cs="Calibri" w:eastAsia="Calibri" w:hAnsi="Calibri"/>
          <w:color w:val="1F2937"/>
          <w:sz w:val="21"/>
          <w:szCs w:val="21"/>
        </w:rPr>
        <w:t xml:space="preserve">ARbixo is a cloud accounting platform built for Philippine businesses. Everything you do lives inside your company's account and is available the moment you sign in, from any device with a browser and an internet connection — there is nothing to install.</w:t>
      </w:r>
    </w:p>
    <w:p>
      <w:pPr>
        <w:pStyle w:val="Heading2"/>
        <w:spacing w:after="140" w:before="340"/>
      </w:pPr>
      <w:r>
        <w:rPr>
          <w:rFonts w:ascii="Calibri" w:cs="Calibri" w:eastAsia="Calibri" w:hAnsi="Calibri"/>
          <w:b/>
          <w:bCs/>
          <w:color w:val="0B2A5E"/>
          <w:sz w:val="26"/>
          <w:szCs w:val="26"/>
        </w:rPr>
        <w:t xml:space="preserve">1.1 Signing in</w:t>
      </w:r>
    </w:p>
    <w:p>
      <w:pPr>
        <w:pStyle w:val="ListParagraph"/>
        <w:numPr>
          <w:ilvl w:val="0"/>
          <w:numId w:val="2"/>
        </w:numPr>
        <w:spacing w:after="90" w:line="270"/>
        <w:jc w:val="both"/>
      </w:pPr>
      <w:r>
        <w:rPr>
          <w:rFonts w:ascii="Calibri" w:cs="Calibri" w:eastAsia="Calibri" w:hAnsi="Calibri"/>
          <w:color w:val="1F2937"/>
          <w:sz w:val="21"/>
          <w:szCs w:val="21"/>
        </w:rPr>
        <w:t xml:space="preserve">Go to www.arbixo.net and click Log in, or go directly to www.arbixo.net/login.</w:t>
      </w:r>
    </w:p>
    <w:p>
      <w:pPr>
        <w:pStyle w:val="ListParagraph"/>
        <w:numPr>
          <w:ilvl w:val="0"/>
          <w:numId w:val="2"/>
        </w:numPr>
        <w:spacing w:after="90" w:line="270"/>
        <w:jc w:val="both"/>
      </w:pPr>
      <w:r>
        <w:rPr>
          <w:rFonts w:ascii="Calibri" w:cs="Calibri" w:eastAsia="Calibri" w:hAnsi="Calibri"/>
          <w:color w:val="1F2937"/>
          <w:sz w:val="21"/>
          <w:szCs w:val="21"/>
        </w:rPr>
        <w:t xml:space="preserve">Enter the email and password given to you by your company's administrator or Manager.</w:t>
      </w:r>
    </w:p>
    <w:p>
      <w:pPr>
        <w:pStyle w:val="ListParagraph"/>
        <w:numPr>
          <w:ilvl w:val="0"/>
          <w:numId w:val="2"/>
        </w:numPr>
        <w:spacing w:after="90" w:line="270"/>
        <w:jc w:val="both"/>
      </w:pPr>
      <w:r>
        <w:rPr>
          <w:rFonts w:ascii="Calibri" w:cs="Calibri" w:eastAsia="Calibri" w:hAnsi="Calibri"/>
          <w:color w:val="1F2937"/>
          <w:sz w:val="21"/>
          <w:szCs w:val="21"/>
        </w:rPr>
        <w:t xml:space="preserve">If you forget your password, use the "Forgot password?" link on the login page to receive a reset link by email.</w:t>
      </w:r>
    </w:p>
    <w:p>
      <w:pPr>
        <w:pStyle w:val="ListParagraph"/>
        <w:numPr>
          <w:ilvl w:val="0"/>
          <w:numId w:val="2"/>
        </w:numPr>
        <w:spacing w:after="90" w:line="270"/>
        <w:jc w:val="both"/>
      </w:pPr>
      <w:r>
        <w:rPr>
          <w:rFonts w:ascii="Calibri" w:cs="Calibri" w:eastAsia="Calibri" w:hAnsi="Calibri"/>
          <w:color w:val="1F2937"/>
          <w:sz w:val="21"/>
          <w:szCs w:val="21"/>
        </w:rPr>
        <w:t xml:space="preserve">If your company doesn't have an active subscription, or it has expired, you can still sign in and view your data, but you won't be able to post new transactions until an administrator renews it — a banner at the top of the dashboard will tell you if this applies.</w:t>
      </w:r>
    </w:p>
    <w:p>
      <w:pPr>
        <w:pStyle w:val="Heading2"/>
        <w:spacing w:after="140" w:before="340"/>
      </w:pPr>
      <w:r>
        <w:rPr>
          <w:rFonts w:ascii="Calibri" w:cs="Calibri" w:eastAsia="Calibri" w:hAnsi="Calibri"/>
          <w:b/>
          <w:bCs/>
          <w:color w:val="0B2A5E"/>
          <w:sz w:val="26"/>
          <w:szCs w:val="26"/>
        </w:rPr>
        <w:t xml:space="preserve">1.2 Your role in ARbixo</w:t>
      </w:r>
    </w:p>
    <w:p>
      <w:pPr>
        <w:spacing w:after="140" w:line="276"/>
        <w:jc w:val="both"/>
      </w:pPr>
      <w:r>
        <w:rPr>
          <w:rFonts w:ascii="Calibri" w:cs="Calibri" w:eastAsia="Calibri" w:hAnsi="Calibri"/>
          <w:color w:val="1F2937"/>
          <w:sz w:val="21"/>
          <w:szCs w:val="21"/>
        </w:rPr>
        <w:t xml:space="preserve">You are signed in as a </w:t>
      </w:r>
      <w:r>
        <w:rPr>
          <w:rFonts w:ascii="Calibri" w:cs="Calibri" w:eastAsia="Calibri" w:hAnsi="Calibri"/>
          <w:b/>
          <w:bCs/>
          <w:color w:val="1F2937"/>
          <w:sz w:val="21"/>
          <w:szCs w:val="21"/>
        </w:rPr>
        <w:t xml:space="preserve">User</w:t>
      </w:r>
      <w:r>
        <w:rPr>
          <w:rFonts w:ascii="Calibri" w:cs="Calibri" w:eastAsia="Calibri" w:hAnsi="Calibri"/>
          <w:color w:val="1F2937"/>
          <w:sz w:val="21"/>
          <w:szCs w:val="21"/>
        </w:rPr>
        <w:t xml:space="preserve">. Every ARbixo account is either an administrator (Systemaide Solutions staff who run the platform itself) or a subscriber belonging to one company. Subscriber accounts come in three levels:</w:t>
      </w:r>
    </w:p>
    <w:p>
      <w:pPr>
        <w:pStyle w:val="ListParagraph"/>
        <w:numPr>
          <w:ilvl w:val="0"/>
          <w:numId w:val="2"/>
        </w:numPr>
        <w:spacing w:after="90" w:line="270"/>
        <w:jc w:val="both"/>
      </w:pPr>
      <w:r>
        <w:rPr>
          <w:rFonts w:ascii="Calibri" w:cs="Calibri" w:eastAsia="Calibri" w:hAnsi="Calibri"/>
          <w:b/>
          <w:bCs/>
          <w:color w:val="1F2937"/>
          <w:sz w:val="21"/>
          <w:szCs w:val="21"/>
        </w:rPr>
        <w:t xml:space="preserve">User — </w:t>
      </w:r>
      <w:r>
        <w:rPr>
          <w:rFonts w:ascii="Calibri" w:cs="Calibri" w:eastAsia="Calibri" w:hAnsi="Calibri"/>
          <w:color w:val="1F2937"/>
          <w:sz w:val="21"/>
          <w:szCs w:val="21"/>
        </w:rPr>
        <w:t xml:space="preserve">encode, post, and cancel your own transactions, and generate every report. This is the standard account level for day-to-day bookkeeping.</w:t>
      </w:r>
    </w:p>
    <w:p>
      <w:pPr>
        <w:pStyle w:val="ListParagraph"/>
        <w:numPr>
          <w:ilvl w:val="0"/>
          <w:numId w:val="2"/>
        </w:numPr>
        <w:spacing w:after="90" w:line="270"/>
        <w:jc w:val="both"/>
      </w:pPr>
      <w:r>
        <w:rPr>
          <w:rFonts w:ascii="Calibri" w:cs="Calibri" w:eastAsia="Calibri" w:hAnsi="Calibri"/>
          <w:b/>
          <w:bCs/>
          <w:color w:val="1F2937"/>
          <w:sz w:val="21"/>
          <w:szCs w:val="21"/>
        </w:rPr>
        <w:t xml:space="preserve">Manager — </w:t>
      </w:r>
      <w:r>
        <w:rPr>
          <w:rFonts w:ascii="Calibri" w:cs="Calibri" w:eastAsia="Calibri" w:hAnsi="Calibri"/>
          <w:color w:val="1F2937"/>
          <w:sz w:val="21"/>
          <w:szCs w:val="21"/>
        </w:rPr>
        <w:t xml:space="preserve">everything a User can do, plus company-wide administration: managing branches, viewing the full audit trail, backing up company data, and handling subscription renewal payments. This manual is written for the User level.</w:t>
      </w:r>
    </w:p>
    <w:p>
      <w:pPr>
        <w:pStyle w:val="ListParagraph"/>
        <w:numPr>
          <w:ilvl w:val="0"/>
          <w:numId w:val="2"/>
        </w:numPr>
        <w:spacing w:after="90" w:line="270"/>
        <w:jc w:val="both"/>
      </w:pPr>
      <w:r>
        <w:rPr>
          <w:rFonts w:ascii="Calibri" w:cs="Calibri" w:eastAsia="Calibri" w:hAnsi="Calibri"/>
          <w:b/>
          <w:bCs/>
          <w:color w:val="1F2937"/>
          <w:sz w:val="21"/>
          <w:szCs w:val="21"/>
        </w:rPr>
        <w:t xml:space="preserve">Report Creator — </w:t>
      </w:r>
      <w:r>
        <w:rPr>
          <w:rFonts w:ascii="Calibri" w:cs="Calibri" w:eastAsia="Calibri" w:hAnsi="Calibri"/>
          <w:color w:val="1F2937"/>
          <w:sz w:val="21"/>
          <w:szCs w:val="21"/>
        </w:rPr>
        <w:t xml:space="preserve">a read-only level that can view transactions and generate reports, but cannot post anything. If you were expecting to post transactions and can't, check with your Manager whether your account is set to this level.</w:t>
      </w:r>
    </w:p>
    <w:p>
      <w:pPr>
        <w:pStyle w:val="Heading2"/>
        <w:spacing w:after="140" w:before="340"/>
      </w:pPr>
      <w:r>
        <w:rPr>
          <w:rFonts w:ascii="Calibri" w:cs="Calibri" w:eastAsia="Calibri" w:hAnsi="Calibri"/>
          <w:b/>
          <w:bCs/>
          <w:color w:val="0B2A5E"/>
          <w:sz w:val="26"/>
          <w:szCs w:val="26"/>
        </w:rPr>
        <w:t xml:space="preserve">1.3 The dashboard</w:t>
      </w:r>
    </w:p>
    <w:p>
      <w:pPr>
        <w:spacing w:after="140" w:line="276"/>
        <w:jc w:val="both"/>
      </w:pPr>
      <w:r>
        <w:rPr>
          <w:rFonts w:ascii="Calibri" w:cs="Calibri" w:eastAsia="Calibri" w:hAnsi="Calibri"/>
          <w:color w:val="1F2937"/>
          <w:sz w:val="21"/>
          <w:szCs w:val="21"/>
        </w:rPr>
        <w:t xml:space="preserve">After signing in you land on your Dashboard (also reachable any time from the top-left ARbixo logo). It gives you an at-a-glance view of the business and quick access to the things you do most:</w:t>
      </w:r>
    </w:p>
    <w:p>
      <w:pPr>
        <w:pStyle w:val="ListParagraph"/>
        <w:numPr>
          <w:ilvl w:val="0"/>
          <w:numId w:val="2"/>
        </w:numPr>
        <w:spacing w:after="90" w:line="270"/>
        <w:jc w:val="both"/>
      </w:pPr>
      <w:r>
        <w:rPr>
          <w:rFonts w:ascii="Calibri" w:cs="Calibri" w:eastAsia="Calibri" w:hAnsi="Calibri"/>
          <w:b/>
          <w:bCs/>
          <w:color w:val="1F2937"/>
          <w:sz w:val="21"/>
          <w:szCs w:val="21"/>
        </w:rPr>
        <w:t xml:space="preserve">Financial snapshot — </w:t>
      </w:r>
      <w:r>
        <w:rPr>
          <w:rFonts w:ascii="Calibri" w:cs="Calibri" w:eastAsia="Calibri" w:hAnsi="Calibri"/>
          <w:color w:val="1F2937"/>
          <w:sz w:val="21"/>
          <w:szCs w:val="21"/>
        </w:rPr>
        <w:t xml:space="preserve">a greeting and a set of summary tiles for the current month — figures like cash position, receivables, and income at a glance.</w:t>
      </w:r>
    </w:p>
    <w:p>
      <w:pPr>
        <w:pStyle w:val="ListParagraph"/>
        <w:numPr>
          <w:ilvl w:val="0"/>
          <w:numId w:val="2"/>
        </w:numPr>
        <w:spacing w:after="90" w:line="270"/>
        <w:jc w:val="both"/>
      </w:pPr>
      <w:r>
        <w:rPr>
          <w:rFonts w:ascii="Calibri" w:cs="Calibri" w:eastAsia="Calibri" w:hAnsi="Calibri"/>
          <w:b/>
          <w:bCs/>
          <w:color w:val="1F2937"/>
          <w:sz w:val="21"/>
          <w:szCs w:val="21"/>
        </w:rPr>
        <w:t xml:space="preserve">Quick Actions — </w:t>
      </w:r>
      <w:r>
        <w:rPr>
          <w:rFonts w:ascii="Calibri" w:cs="Calibri" w:eastAsia="Calibri" w:hAnsi="Calibri"/>
          <w:color w:val="1F2937"/>
          <w:sz w:val="21"/>
          <w:szCs w:val="21"/>
        </w:rPr>
        <w:t xml:space="preserve">one-click shortcuts to New Sale, New Purchase, Cash Receipt, Cash Disbursement, Journal Entry, and Reports — the six things you'll reach for most often.</w:t>
      </w:r>
    </w:p>
    <w:p>
      <w:pPr>
        <w:pStyle w:val="ListParagraph"/>
        <w:numPr>
          <w:ilvl w:val="0"/>
          <w:numId w:val="2"/>
        </w:numPr>
        <w:spacing w:after="90" w:line="270"/>
        <w:jc w:val="both"/>
      </w:pPr>
      <w:r>
        <w:rPr>
          <w:rFonts w:ascii="Calibri" w:cs="Calibri" w:eastAsia="Calibri" w:hAnsi="Calibri"/>
          <w:b/>
          <w:bCs/>
          <w:color w:val="1F2937"/>
          <w:sz w:val="21"/>
          <w:szCs w:val="21"/>
        </w:rPr>
        <w:t xml:space="preserve">Related Links — </w:t>
      </w:r>
      <w:r>
        <w:rPr>
          <w:rFonts w:ascii="Calibri" w:cs="Calibri" w:eastAsia="Calibri" w:hAnsi="Calibri"/>
          <w:color w:val="1F2937"/>
          <w:sz w:val="21"/>
          <w:szCs w:val="21"/>
        </w:rPr>
        <w:t xml:space="preserve">shortcuts your administrator has set up for you — typically BIR, tax calculators, and similar external tools.</w:t>
      </w:r>
    </w:p>
    <w:p>
      <w:pPr>
        <w:pStyle w:val="ListParagraph"/>
        <w:numPr>
          <w:ilvl w:val="0"/>
          <w:numId w:val="2"/>
        </w:numPr>
        <w:spacing w:after="90" w:line="270"/>
        <w:jc w:val="both"/>
      </w:pPr>
      <w:r>
        <w:rPr>
          <w:rFonts w:ascii="Calibri" w:cs="Calibri" w:eastAsia="Calibri" w:hAnsi="Calibri"/>
          <w:b/>
          <w:bCs/>
          <w:color w:val="1F2937"/>
          <w:sz w:val="21"/>
          <w:szCs w:val="21"/>
        </w:rPr>
        <w:t xml:space="preserve">BIR Tax Reminders — </w:t>
      </w:r>
      <w:r>
        <w:rPr>
          <w:rFonts w:ascii="Calibri" w:cs="Calibri" w:eastAsia="Calibri" w:hAnsi="Calibri"/>
          <w:color w:val="1F2937"/>
          <w:sz w:val="21"/>
          <w:szCs w:val="21"/>
        </w:rPr>
        <w:t xml:space="preserve">a live feed of the current month's BIR filing deadlines, so nothing sneaks up on you.</w:t>
      </w: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If your company's subscription is expiring or has expired, or has none set up yet, a banner appears above the snapshot explaining what that means for you. You can still view everything; posting new transactions is what gets locked.</w:t>
            </w:r>
          </w:p>
        </w:tc>
      </w:tr>
    </w:tbl>
    <w:p>
      <w:pPr>
        <w:pStyle w:val="Heading2"/>
        <w:spacing w:after="140" w:before="340"/>
      </w:pPr>
      <w:r>
        <w:rPr>
          <w:rFonts w:ascii="Calibri" w:cs="Calibri" w:eastAsia="Calibri" w:hAnsi="Calibri"/>
          <w:b/>
          <w:bCs/>
          <w:color w:val="0B2A5E"/>
          <w:sz w:val="26"/>
          <w:szCs w:val="26"/>
        </w:rPr>
        <w:t xml:space="preserve">1.4 Getting help — ARbi</w:t>
      </w:r>
    </w:p>
    <w:p>
      <w:pPr>
        <w:spacing w:after="140" w:line="276"/>
        <w:jc w:val="both"/>
      </w:pPr>
      <w:r>
        <w:rPr>
          <w:rFonts w:ascii="Calibri" w:cs="Calibri" w:eastAsia="Calibri" w:hAnsi="Calibri"/>
          <w:color w:val="1F2937"/>
          <w:sz w:val="21"/>
          <w:szCs w:val="21"/>
        </w:rPr>
        <w:t xml:space="preserve">A small circular avatar floats in the bottom-right corner of every screen. Click it any time for quick help: a link straight into Ask ARbi (section 6.1), a link to the FAQ on the public ARbixo site, and a Contact support email you can write to directly.</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2. Recording Transactions</w:t>
      </w:r>
    </w:p>
    <w:p>
      <w:pPr>
        <w:spacing w:after="140" w:line="276"/>
        <w:jc w:val="both"/>
      </w:pPr>
      <w:r>
        <w:rPr>
          <w:rFonts w:ascii="Calibri" w:cs="Calibri" w:eastAsia="Calibri" w:hAnsi="Calibri"/>
          <w:color w:val="1F2937"/>
          <w:sz w:val="21"/>
          <w:szCs w:val="21"/>
        </w:rPr>
        <w:t xml:space="preserve">Everything your books need starts here. The Transactions menu covers six kinds of entries; each has its own screen tailored to what it needs, but they share the same building blocks: a header (date, document number, branch, the party involved), one or more lines (account, VAT type, amount), and a Save action that posts the entry to your ledgers immediately.</w:t>
      </w:r>
    </w:p>
    <w:p>
      <w:pPr>
        <w:pStyle w:val="Heading2"/>
        <w:spacing w:after="140" w:before="340"/>
      </w:pPr>
      <w:r>
        <w:rPr>
          <w:rFonts w:ascii="Calibri" w:cs="Calibri" w:eastAsia="Calibri" w:hAnsi="Calibri"/>
          <w:b/>
          <w:bCs/>
          <w:color w:val="0B2A5E"/>
          <w:sz w:val="26"/>
          <w:szCs w:val="26"/>
        </w:rPr>
        <w:t xml:space="preserve">2.1 Overview of the six transaction types</w:t>
      </w:r>
    </w:p>
    <w:tbl>
      <w:tblPr>
        <w:tblW w:type="dxa" w:w="9800"/>
        <w:tblBorders>
          <w:top w:val="single" w:color="D1D5DB" w:sz="4"/>
          <w:left w:val="single" w:color="D1D5DB" w:sz="4"/>
          <w:bottom w:val="single" w:color="D1D5DB" w:sz="4"/>
          <w:right w:val="single" w:color="D1D5DB" w:sz="4"/>
          <w:insideH w:val="single" w:color="D1D5DB" w:sz="2"/>
          <w:insideV w:val="single" w:color="D1D5DB" w:sz="2"/>
        </w:tblBorders>
      </w:tblPr>
      <w:tblGrid>
        <w:gridCol w:w="2200"/>
        <w:gridCol w:w="4300"/>
        <w:gridCol w:w="2200"/>
        <w:gridCol w:w="1100"/>
      </w:tblGrid>
      <w:tr>
        <w:trPr>
          <w:tblHeader/>
        </w:trPr>
        <w:tc>
          <w:tcPr>
            <w:tcW w:type="dxa" w:w="22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Type</w:t>
            </w:r>
          </w:p>
        </w:tc>
        <w:tc>
          <w:tcPr>
            <w:tcW w:type="dxa" w:w="43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Use it for</w:t>
            </w:r>
          </w:p>
        </w:tc>
        <w:tc>
          <w:tcPr>
            <w:tcW w:type="dxa" w:w="22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Party</w:t>
            </w:r>
          </w:p>
        </w:tc>
        <w:tc>
          <w:tcPr>
            <w:tcW w:type="dxa" w:w="11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Cash involved?</w:t>
            </w:r>
          </w:p>
        </w:tc>
      </w:tr>
      <w:tr>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Cash Receipts</w:t>
            </w:r>
          </w:p>
        </w:tc>
        <w:tc>
          <w:tcPr>
            <w:tcW w:type="dxa" w:w="43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Money coming in — cash sales, collections on customer invoices, other income</w:t>
            </w:r>
          </w:p>
        </w:tc>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Customer / any party</w:t>
            </w:r>
          </w:p>
        </w:tc>
        <w:tc>
          <w:tcPr>
            <w:tcW w:type="dxa" w:w="11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Yes</w:t>
            </w:r>
          </w:p>
        </w:tc>
      </w:tr>
      <w:tr>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Sales on Account</w:t>
            </w:r>
          </w:p>
        </w:tc>
        <w:tc>
          <w:tcPr>
            <w:tcW w:type="dxa" w:w="43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Invoices billed to a customer, paid later</w:t>
            </w:r>
          </w:p>
        </w:tc>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Customer</w:t>
            </w:r>
          </w:p>
        </w:tc>
        <w:tc>
          <w:tcPr>
            <w:tcW w:type="dxa" w:w="11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No</w:t>
            </w:r>
          </w:p>
        </w:tc>
      </w:tr>
      <w:tr>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Cash Disbursement</w:t>
            </w:r>
          </w:p>
        </w:tc>
        <w:tc>
          <w:tcPr>
            <w:tcW w:type="dxa" w:w="43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Money going out — paying bills, expenses, payroll</w:t>
            </w:r>
          </w:p>
        </w:tc>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Vendor / any party</w:t>
            </w:r>
          </w:p>
        </w:tc>
        <w:tc>
          <w:tcPr>
            <w:tcW w:type="dxa" w:w="11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Yes</w:t>
            </w:r>
          </w:p>
        </w:tc>
      </w:tr>
      <w:tr>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Purchase on Account</w:t>
            </w:r>
          </w:p>
        </w:tc>
        <w:tc>
          <w:tcPr>
            <w:tcW w:type="dxa" w:w="43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Bills from a supplier, to be paid later</w:t>
            </w:r>
          </w:p>
        </w:tc>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Vendor</w:t>
            </w:r>
          </w:p>
        </w:tc>
        <w:tc>
          <w:tcPr>
            <w:tcW w:type="dxa" w:w="11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No</w:t>
            </w:r>
          </w:p>
        </w:tc>
      </w:tr>
      <w:tr>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Importations</w:t>
            </w:r>
          </w:p>
        </w:tc>
        <w:tc>
          <w:tcPr>
            <w:tcW w:type="dxa" w:w="43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Recording an import shipment for BIR's Summary List of Importations</w:t>
            </w:r>
          </w:p>
        </w:tc>
        <w:tc>
          <w:tcPr>
            <w:tcW w:type="dxa" w:w="22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w:t>
            </w:r>
          </w:p>
        </w:tc>
        <w:tc>
          <w:tcPr>
            <w:tcW w:type="dxa" w:w="11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No (feeds into a Cash Disbursement for the duty/VAT)</w:t>
            </w:r>
          </w:p>
        </w:tc>
      </w:tr>
      <w:tr>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General journal</w:t>
            </w:r>
          </w:p>
        </w:tc>
        <w:tc>
          <w:tcPr>
            <w:tcW w:type="dxa" w:w="43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Anything else — manual debit/credit entries</w:t>
            </w:r>
          </w:p>
        </w:tc>
        <w:tc>
          <w:tcPr>
            <w:tcW w:type="dxa" w:w="22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Optional, per line</w:t>
            </w:r>
          </w:p>
        </w:tc>
        <w:tc>
          <w:tcPr>
            <w:tcW w:type="dxa" w:w="11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Depends</w:t>
            </w:r>
          </w:p>
        </w:tc>
      </w:tr>
    </w:tbl>
    <w:p>
      <w:pPr>
        <w:spacing w:after="200"/>
      </w:pPr>
    </w:p>
    <w:p>
      <w:pPr>
        <w:pStyle w:val="Heading2"/>
        <w:spacing w:after="140" w:before="340"/>
      </w:pPr>
      <w:r>
        <w:rPr>
          <w:rFonts w:ascii="Calibri" w:cs="Calibri" w:eastAsia="Calibri" w:hAnsi="Calibri"/>
          <w:b/>
          <w:bCs/>
          <w:color w:val="0B2A5E"/>
          <w:sz w:val="26"/>
          <w:szCs w:val="26"/>
        </w:rPr>
        <w:t xml:space="preserve">2.2 Cash Receipts</w:t>
      </w:r>
    </w:p>
    <w:p>
      <w:pPr>
        <w:pStyle w:val="Heading3"/>
        <w:spacing w:after="100" w:before="220"/>
      </w:pPr>
      <w:r>
        <w:rPr>
          <w:rFonts w:ascii="Calibri" w:cs="Calibri" w:eastAsia="Calibri" w:hAnsi="Calibri"/>
          <w:b/>
          <w:bCs/>
          <w:color w:val="1F2937"/>
          <w:sz w:val="22"/>
          <w:szCs w:val="22"/>
        </w:rPr>
        <w:t xml:space="preserve">Recording a Cash Receipt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Cash Receipts</w:t>
      </w:r>
    </w:p>
    <w:p>
      <w:pPr>
        <w:spacing w:after="140" w:line="276"/>
        <w:jc w:val="both"/>
      </w:pPr>
      <w:r>
        <w:rPr>
          <w:rFonts w:ascii="Calibri" w:cs="Calibri" w:eastAsia="Calibri" w:hAnsi="Calibri"/>
          <w:color w:val="1F2937"/>
          <w:sz w:val="21"/>
          <w:szCs w:val="21"/>
        </w:rPr>
        <w:t xml:space="preserve">Use this for every peso your business receives: cash sales, a customer paying down their account, or any other income.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OR no. (the official receipt number — a suggested next number is pre-filled, but you can change it), Check no. (optional), Branch, the Payor (searchable party picker — type to filter by code or name, or click "+ New" to add a party on the spot), and the Cash account the money is going into.</w:t>
      </w:r>
    </w:p>
    <w:p>
      <w:pPr>
        <w:pStyle w:val="ListParagraph"/>
        <w:numPr>
          <w:ilvl w:val="0"/>
          <w:numId w:val="2"/>
        </w:numPr>
        <w:spacing w:after="90" w:line="270"/>
        <w:jc w:val="both"/>
      </w:pPr>
      <w:r>
        <w:rPr>
          <w:rFonts w:ascii="Calibri" w:cs="Calibri" w:eastAsia="Calibri" w:hAnsi="Calibri"/>
          <w:b/>
          <w:bCs/>
          <w:color w:val="1F2937"/>
          <w:sz w:val="21"/>
          <w:szCs w:val="21"/>
        </w:rPr>
        <w:t xml:space="preserve">Scan receipt — </w:t>
      </w:r>
      <w:r>
        <w:rPr>
          <w:rFonts w:ascii="Calibri" w:cs="Calibri" w:eastAsia="Calibri" w:hAnsi="Calibri"/>
          <w:color w:val="1F2937"/>
          <w:sz w:val="21"/>
          <w:szCs w:val="21"/>
        </w:rPr>
        <w:t xml:space="preserve">click the camera button to upload a photo of a receipt; ARbixo reads it and pre-fills the date, payor, amount, VAT type and particulars for you to review before saving. Fields it isn't confident about are flagged for you to double-check.</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one row per amount — Account, Ref No., Description, VAT type (12% VAT / Zero-Rated / VAT Exempt / Non-VAT), Amount, a Gross/Net switch for VAT lines, and an optional withholding tax (ATC) code. Net, VAT, and Withholding are computed for you as you fill each line.</w:t>
      </w:r>
    </w:p>
    <w:p>
      <w:pPr>
        <w:pStyle w:val="ListParagraph"/>
        <w:numPr>
          <w:ilvl w:val="0"/>
          <w:numId w:val="2"/>
        </w:numPr>
        <w:spacing w:after="90" w:line="270"/>
        <w:jc w:val="both"/>
      </w:pPr>
      <w:r>
        <w:rPr>
          <w:rFonts w:ascii="Calibri" w:cs="Calibri" w:eastAsia="Calibri" w:hAnsi="Calibri"/>
          <w:b/>
          <w:bCs/>
          <w:color w:val="1F2937"/>
          <w:sz w:val="21"/>
          <w:szCs w:val="21"/>
        </w:rPr>
        <w:t xml:space="preserve">Apply to invoice(s) — </w:t>
      </w:r>
      <w:r>
        <w:rPr>
          <w:rFonts w:ascii="Calibri" w:cs="Calibri" w:eastAsia="Calibri" w:hAnsi="Calibri"/>
          <w:color w:val="1F2937"/>
          <w:sz w:val="21"/>
          <w:szCs w:val="21"/>
        </w:rPr>
        <w:t xml:space="preserve">when a line's account is Accounts Receivable and you've picked a Customer, click the ⋯ to see that customer's open invoices and tick the ones this payment is settling — or type a partial amount. The line's Amount fills in to match automatically.</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Add as many lines as the receipt needs with "+ Add line"; "Clear" wipes them back to one.</w:t>
      </w:r>
    </w:p>
    <w:p>
      <w:pPr>
        <w:pStyle w:val="ListParagraph"/>
        <w:numPr>
          <w:ilvl w:val="0"/>
          <w:numId w:val="2"/>
        </w:numPr>
        <w:spacing w:after="90" w:line="270"/>
        <w:jc w:val="both"/>
      </w:pPr>
      <w:r>
        <w:rPr>
          <w:rFonts w:ascii="Calibri" w:cs="Calibri" w:eastAsia="Calibri" w:hAnsi="Calibri"/>
          <w:color w:val="1F2937"/>
          <w:sz w:val="21"/>
          <w:szCs w:val="21"/>
        </w:rPr>
        <w:t xml:space="preserve">Click Save to post. The screen immediately resets to a blank receipt with the next OR number ready, so you can keep entering without extra clicks.</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If you apply amounts to invoices on a line, they must add up to exactly that line's Amount, or ARbixo will stop you and tell you the mismatch before it lets you save. It also refuses to post a receipt whose total cash effect works out to zero or less — that usually means a line amount is wrong.</w:t>
            </w:r>
          </w:p>
        </w:tc>
      </w:tr>
    </w:tbl>
    <w:p>
      <w:pPr>
        <w:spacing w:after="160"/>
      </w:pPr>
    </w:p>
    <w:p>
      <w:pPr>
        <w:pStyle w:val="Heading2"/>
        <w:spacing w:after="140" w:before="340"/>
      </w:pPr>
      <w:r>
        <w:rPr>
          <w:rFonts w:ascii="Calibri" w:cs="Calibri" w:eastAsia="Calibri" w:hAnsi="Calibri"/>
          <w:b/>
          <w:bCs/>
          <w:color w:val="0B2A5E"/>
          <w:sz w:val="26"/>
          <w:szCs w:val="26"/>
        </w:rPr>
        <w:t xml:space="preserve">2.3 Sales on Account</w:t>
      </w:r>
    </w:p>
    <w:p>
      <w:pPr>
        <w:pStyle w:val="Heading3"/>
        <w:spacing w:after="100" w:before="220"/>
      </w:pPr>
      <w:r>
        <w:rPr>
          <w:rFonts w:ascii="Calibri" w:cs="Calibri" w:eastAsia="Calibri" w:hAnsi="Calibri"/>
          <w:b/>
          <w:bCs/>
          <w:color w:val="1F2937"/>
          <w:sz w:val="22"/>
          <w:szCs w:val="22"/>
        </w:rPr>
        <w:t xml:space="preserve">Recording an invoice</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Sales on Account</w:t>
      </w:r>
    </w:p>
    <w:p>
      <w:pPr>
        <w:spacing w:after="140" w:line="276"/>
        <w:jc w:val="both"/>
      </w:pPr>
      <w:r>
        <w:rPr>
          <w:rFonts w:ascii="Calibri" w:cs="Calibri" w:eastAsia="Calibri" w:hAnsi="Calibri"/>
          <w:color w:val="1F2937"/>
          <w:sz w:val="21"/>
          <w:szCs w:val="21"/>
        </w:rPr>
        <w:t xml:space="preserve">This is the invoice itself — no cash moves yet. You collect it later with a Cash Receipt applied against this invoice.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Invoice no. (becomes "CM no." automatically if you tick Sales return, turning this into a credit memo), Check no. (optional), Branch, the Customer (searchable picker, quick-create available), the Receivable account, and Payment terms / Due date — picking a customer fills in their usual terms, and the due date recalculates itself whenever you change the date or terms.</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Income account, Ref No., Description, VAT type, Amount, Gross/Net switch, and an optional withholding code — same computed Net/VAT/Withholding as Cash Receipts.</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"Save &amp; new" posts and immediately clears the form for the next invoice.</w:t>
      </w:r>
    </w:p>
    <w:p>
      <w:pPr>
        <w:pStyle w:val="ListParagraph"/>
        <w:numPr>
          <w:ilvl w:val="0"/>
          <w:numId w:val="2"/>
        </w:numPr>
        <w:spacing w:after="90" w:line="270"/>
        <w:jc w:val="both"/>
      </w:pPr>
      <w:r>
        <w:rPr>
          <w:rFonts w:ascii="Calibri" w:cs="Calibri" w:eastAsia="Calibri" w:hAnsi="Calibri"/>
          <w:color w:val="1F2937"/>
          <w:sz w:val="21"/>
          <w:szCs w:val="21"/>
        </w:rPr>
        <w:t xml:space="preserve">"Save" posts and keeps this invoice on screen (read-only) — useful if you want to double-check it before moving on; click New when you're ready for the next one.</w:t>
      </w:r>
    </w:p>
    <w:p>
      <w:pPr>
        <w:spacing w:after="160"/>
      </w:pPr>
    </w:p>
    <w:p>
      <w:pPr>
        <w:pStyle w:val="Heading2"/>
        <w:spacing w:after="140" w:before="340"/>
      </w:pPr>
      <w:r>
        <w:rPr>
          <w:rFonts w:ascii="Calibri" w:cs="Calibri" w:eastAsia="Calibri" w:hAnsi="Calibri"/>
          <w:b/>
          <w:bCs/>
          <w:color w:val="0B2A5E"/>
          <w:sz w:val="26"/>
          <w:szCs w:val="26"/>
        </w:rPr>
        <w:t xml:space="preserve">2.4 Cash Disbursement</w:t>
      </w:r>
    </w:p>
    <w:p>
      <w:pPr>
        <w:pStyle w:val="Heading3"/>
        <w:spacing w:after="100" w:before="220"/>
      </w:pPr>
      <w:r>
        <w:rPr>
          <w:rFonts w:ascii="Calibri" w:cs="Calibri" w:eastAsia="Calibri" w:hAnsi="Calibri"/>
          <w:b/>
          <w:bCs/>
          <w:color w:val="1F2937"/>
          <w:sz w:val="22"/>
          <w:szCs w:val="22"/>
        </w:rPr>
        <w:t xml:space="preserve">Recording a payment out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Cash Disbursement</w:t>
      </w:r>
    </w:p>
    <w:p>
      <w:pPr>
        <w:spacing w:after="140" w:line="276"/>
        <w:jc w:val="both"/>
      </w:pPr>
      <w:r>
        <w:rPr>
          <w:rFonts w:ascii="Calibri" w:cs="Calibri" w:eastAsia="Calibri" w:hAnsi="Calibri"/>
          <w:color w:val="1F2937"/>
          <w:sz w:val="21"/>
          <w:szCs w:val="21"/>
        </w:rPr>
        <w:t xml:space="preserve">Use this for every peso your business pays out: settling a supplier's bill, an expense, payroll, or any other outgoing payment.</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CV no., Check no. (optional), Branch, the Payee (any party type), and the Cash account the money is coming from.</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Account, Ref No., Description, a Nature (Goods / Services / Capital Goods, which narrows which withholding codes apply), VAT type, Amount, Gross/Net switch, and an ATC code. Each line's ⋯ also lets you attach a different party to that specific line, if one check is paying several people at once.</w:t>
      </w:r>
    </w:p>
    <w:p>
      <w:pPr>
        <w:pStyle w:val="ListParagraph"/>
        <w:numPr>
          <w:ilvl w:val="0"/>
          <w:numId w:val="2"/>
        </w:numPr>
        <w:spacing w:after="90" w:line="270"/>
        <w:jc w:val="both"/>
      </w:pPr>
      <w:r>
        <w:rPr>
          <w:rFonts w:ascii="Calibri" w:cs="Calibri" w:eastAsia="Calibri" w:hAnsi="Calibri"/>
          <w:b/>
          <w:bCs/>
          <w:color w:val="1F2937"/>
          <w:sz w:val="21"/>
          <w:szCs w:val="21"/>
        </w:rPr>
        <w:t xml:space="preserve">Apply to bill(s) — </w:t>
      </w:r>
      <w:r>
        <w:rPr>
          <w:rFonts w:ascii="Calibri" w:cs="Calibri" w:eastAsia="Calibri" w:hAnsi="Calibri"/>
          <w:color w:val="1F2937"/>
          <w:sz w:val="21"/>
          <w:szCs w:val="21"/>
        </w:rPr>
        <w:t xml:space="preserve">on an Accounts Payable line with a Vendor selected, click ⋯ to see that vendor's open bills and tick or partially apply against them, the same way Cash Receipts applies to invoices.</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"Save &amp; new" posts and clears the form immediately.</w:t>
      </w:r>
    </w:p>
    <w:p>
      <w:pPr>
        <w:pStyle w:val="ListParagraph"/>
        <w:numPr>
          <w:ilvl w:val="0"/>
          <w:numId w:val="2"/>
        </w:numPr>
        <w:spacing w:after="90" w:line="270"/>
        <w:jc w:val="both"/>
      </w:pPr>
      <w:r>
        <w:rPr>
          <w:rFonts w:ascii="Calibri" w:cs="Calibri" w:eastAsia="Calibri" w:hAnsi="Calibri"/>
          <w:color w:val="1F2937"/>
          <w:sz w:val="21"/>
          <w:szCs w:val="21"/>
        </w:rPr>
        <w:t xml:space="preserve">"Save" posts and keeps this voucher on screen, and unlocks three print options: Print voucher, Print check, and Print 2307 (the BIR withholding certificate for this payment). Click New to start the next one.</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Just like Cash Receipts, any amounts applied to bills must equal that line's Amount, and the voucher's total cash effect can't be zero or negative.</w:t>
            </w:r>
          </w:p>
        </w:tc>
      </w:tr>
    </w:tbl>
    <w:p>
      <w:pPr>
        <w:spacing w:after="160"/>
      </w:pPr>
    </w:p>
    <w:p>
      <w:pPr>
        <w:pStyle w:val="Heading2"/>
        <w:spacing w:after="140" w:before="340"/>
      </w:pPr>
      <w:r>
        <w:rPr>
          <w:rFonts w:ascii="Calibri" w:cs="Calibri" w:eastAsia="Calibri" w:hAnsi="Calibri"/>
          <w:b/>
          <w:bCs/>
          <w:color w:val="0B2A5E"/>
          <w:sz w:val="26"/>
          <w:szCs w:val="26"/>
        </w:rPr>
        <w:t xml:space="preserve">2.5 Purchase on Account</w:t>
      </w:r>
    </w:p>
    <w:p>
      <w:pPr>
        <w:pStyle w:val="Heading3"/>
        <w:spacing w:after="100" w:before="220"/>
      </w:pPr>
      <w:r>
        <w:rPr>
          <w:rFonts w:ascii="Calibri" w:cs="Calibri" w:eastAsia="Calibri" w:hAnsi="Calibri"/>
          <w:b/>
          <w:bCs/>
          <w:color w:val="1F2937"/>
          <w:sz w:val="22"/>
          <w:szCs w:val="22"/>
        </w:rPr>
        <w:t xml:space="preserve">Recording a supplier bill</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Purchase on Account</w:t>
      </w:r>
    </w:p>
    <w:p>
      <w:pPr>
        <w:spacing w:after="140" w:line="276"/>
        <w:jc w:val="both"/>
      </w:pPr>
      <w:r>
        <w:rPr>
          <w:rFonts w:ascii="Calibri" w:cs="Calibri" w:eastAsia="Calibri" w:hAnsi="Calibri"/>
          <w:color w:val="1F2937"/>
          <w:sz w:val="21"/>
          <w:szCs w:val="21"/>
        </w:rPr>
        <w:t xml:space="preserve">The bill itself, on account — you'll pay it later with a Cash Disbursement applied against this bill.</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PV no. (becomes "CM no." if you tick Purchase return), Check no. (optional), Branch, the Supplier, the Payable account, and Payment terms / Due date (auto-filled from the vendor, recalculated automatically).</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Purchase/expense account, Ref No., Description, Nature, VAT type, Amount, Gross/Net switch, ATC code, and a per-line party override, same as Cash Disbursement.</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"Save &amp; new" / "Save" work the same way as Sales on Account.</w:t>
      </w:r>
    </w:p>
    <w:p>
      <w:pPr>
        <w:pStyle w:val="ListParagraph"/>
        <w:numPr>
          <w:ilvl w:val="0"/>
          <w:numId w:val="2"/>
        </w:numPr>
        <w:spacing w:after="90" w:line="270"/>
        <w:jc w:val="both"/>
      </w:pPr>
      <w:r>
        <w:rPr>
          <w:rFonts w:ascii="Calibri" w:cs="Calibri" w:eastAsia="Calibri" w:hAnsi="Calibri"/>
          <w:color w:val="1F2937"/>
          <w:sz w:val="21"/>
          <w:szCs w:val="21"/>
        </w:rPr>
        <w:t xml:space="preserve">Once posted and retained on screen, Print voucher and Print 2307 become available.</w:t>
      </w:r>
    </w:p>
    <w:p>
      <w:pPr>
        <w:spacing w:after="160"/>
      </w:pPr>
    </w:p>
    <w:p>
      <w:pPr>
        <w:pStyle w:val="Heading2"/>
        <w:spacing w:after="140" w:before="340"/>
      </w:pPr>
      <w:r>
        <w:rPr>
          <w:rFonts w:ascii="Calibri" w:cs="Calibri" w:eastAsia="Calibri" w:hAnsi="Calibri"/>
          <w:b/>
          <w:bCs/>
          <w:color w:val="0B2A5E"/>
          <w:sz w:val="26"/>
          <w:szCs w:val="26"/>
        </w:rPr>
        <w:t xml:space="preserve">2.6 Importations</w:t>
      </w:r>
    </w:p>
    <w:p>
      <w:pPr>
        <w:pStyle w:val="Heading3"/>
        <w:spacing w:after="100" w:before="220"/>
      </w:pPr>
      <w:r>
        <w:rPr>
          <w:rFonts w:ascii="Calibri" w:cs="Calibri" w:eastAsia="Calibri" w:hAnsi="Calibri"/>
          <w:b/>
          <w:bCs/>
          <w:color w:val="1F2937"/>
          <w:sz w:val="22"/>
          <w:szCs w:val="22"/>
        </w:rPr>
        <w:t xml:space="preserve">Recording an import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Importations</w:t>
      </w:r>
    </w:p>
    <w:p>
      <w:pPr>
        <w:spacing w:after="140" w:line="276"/>
        <w:jc w:val="both"/>
      </w:pPr>
      <w:r>
        <w:rPr>
          <w:rFonts w:ascii="Calibri" w:cs="Calibri" w:eastAsia="Calibri" w:hAnsi="Calibri"/>
          <w:color w:val="1F2937"/>
          <w:sz w:val="21"/>
          <w:szCs w:val="21"/>
        </w:rPr>
        <w:t xml:space="preserve">A dedicated record for goods brought in from abroad, feeding the BIR Summary List of Importations (SLI). It isn't a debit/credit ledger entry like the other five — just the shipment's details.</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Fields — </w:t>
      </w:r>
      <w:r>
        <w:rPr>
          <w:rFonts w:ascii="Calibri" w:cs="Calibri" w:eastAsia="Calibri" w:hAnsi="Calibri"/>
          <w:color w:val="1F2937"/>
          <w:sz w:val="21"/>
          <w:szCs w:val="21"/>
        </w:rPr>
        <w:t xml:space="preserve">Date of importation, Assessment/release date, Country of origin, Name of seller, Dutiable value, All charges before release, VAT treatment (Taxable 12% or VAT-Exempt), and the OR no. / Date of payment once you've paid the duty. A live preview shows the computed taxable base and VAT before you save.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Click Record importation to save it — ARbixo then opens Cash Disbursement right away as a reminder to record the duty/VAT payment, since that's typically paid at the same time.</w:t>
      </w:r>
    </w:p>
    <w:p>
      <w:pPr>
        <w:pStyle w:val="ListParagraph"/>
        <w:numPr>
          <w:ilvl w:val="0"/>
          <w:numId w:val="2"/>
        </w:numPr>
        <w:spacing w:after="90" w:line="270"/>
        <w:jc w:val="both"/>
      </w:pPr>
      <w:r>
        <w:rPr>
          <w:rFonts w:ascii="Calibri" w:cs="Calibri" w:eastAsia="Calibri" w:hAnsi="Calibri"/>
          <w:color w:val="1F2937"/>
          <w:sz w:val="21"/>
          <w:szCs w:val="21"/>
        </w:rPr>
        <w:t xml:space="preserve">Every importation you've recorded is listed below the form; each row has a Delete action if you need to remove one.</w:t>
      </w:r>
    </w:p>
    <w:p>
      <w:pPr>
        <w:spacing w:after="160"/>
      </w:pPr>
    </w:p>
    <w:p>
      <w:pPr>
        <w:pStyle w:val="Heading2"/>
        <w:spacing w:after="140" w:before="340"/>
      </w:pPr>
      <w:r>
        <w:rPr>
          <w:rFonts w:ascii="Calibri" w:cs="Calibri" w:eastAsia="Calibri" w:hAnsi="Calibri"/>
          <w:b/>
          <w:bCs/>
          <w:color w:val="0B2A5E"/>
          <w:sz w:val="26"/>
          <w:szCs w:val="26"/>
        </w:rPr>
        <w:t xml:space="preserve">2.7 General Journal</w:t>
      </w:r>
    </w:p>
    <w:p>
      <w:pPr>
        <w:pStyle w:val="Heading3"/>
        <w:spacing w:after="100" w:before="220"/>
      </w:pPr>
      <w:r>
        <w:rPr>
          <w:rFonts w:ascii="Calibri" w:cs="Calibri" w:eastAsia="Calibri" w:hAnsi="Calibri"/>
          <w:b/>
          <w:bCs/>
          <w:color w:val="1F2937"/>
          <w:sz w:val="22"/>
          <w:szCs w:val="22"/>
        </w:rPr>
        <w:t xml:space="preserve">A manual journal entry</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Transactions → General journal</w:t>
      </w:r>
    </w:p>
    <w:p>
      <w:pPr>
        <w:spacing w:after="140" w:line="276"/>
        <w:jc w:val="both"/>
      </w:pPr>
      <w:r>
        <w:rPr>
          <w:rFonts w:ascii="Calibri" w:cs="Calibri" w:eastAsia="Calibri" w:hAnsi="Calibri"/>
          <w:color w:val="1F2937"/>
          <w:sz w:val="21"/>
          <w:szCs w:val="21"/>
        </w:rPr>
        <w:t xml:space="preserve">The catch-all for anything the other five screens don't cover. Unlike them, you build both the debit and credit sides yourself, and ARbixo checks that they balance before it lets you save.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Header — </w:t>
      </w:r>
      <w:r>
        <w:rPr>
          <w:rFonts w:ascii="Calibri" w:cs="Calibri" w:eastAsia="Calibri" w:hAnsi="Calibri"/>
          <w:color w:val="1F2937"/>
          <w:sz w:val="21"/>
          <w:szCs w:val="21"/>
        </w:rPr>
        <w:t xml:space="preserve">Date, JV no., Check no. (optional), Branch. There's no single party field here — you attach a party per line instead, if a line needs one.</w:t>
      </w:r>
    </w:p>
    <w:p>
      <w:pPr>
        <w:pStyle w:val="ListParagraph"/>
        <w:numPr>
          <w:ilvl w:val="0"/>
          <w:numId w:val="2"/>
        </w:numPr>
        <w:spacing w:after="90" w:line="270"/>
        <w:jc w:val="both"/>
      </w:pPr>
      <w:r>
        <w:rPr>
          <w:rFonts w:ascii="Calibri" w:cs="Calibri" w:eastAsia="Calibri" w:hAnsi="Calibri"/>
          <w:b/>
          <w:bCs/>
          <w:color w:val="1F2937"/>
          <w:sz w:val="21"/>
          <w:szCs w:val="21"/>
        </w:rPr>
        <w:t xml:space="preserve">Lines — </w:t>
      </w:r>
      <w:r>
        <w:rPr>
          <w:rFonts w:ascii="Calibri" w:cs="Calibri" w:eastAsia="Calibri" w:hAnsi="Calibri"/>
          <w:color w:val="1F2937"/>
          <w:sz w:val="21"/>
          <w:szCs w:val="21"/>
        </w:rPr>
        <w:t xml:space="preserve">Account, Ref No., a Debit box and a Credit box (typing in one clears the other on that row), and a Line description. Each line's ⋯ optionally lets you "+ attach party" and/or "+ VAT info" — a small VAT calculator that computes the Net/VAT amount for you and drops it straight into that line's Debit or Credit with one click, so a JV line still reports correctly on your VAT/BIR reports even though the entry itself is manual.</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"Save &amp; new" / "Save" work the same as the other multi-line forms.</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The Total debit, Total credit, and Difference are shown live at the bottom. Both Save buttons stay disabled until the Difference reads exactly zero — ARbixo will not let an out-of-balance journal entry be posted.</w:t>
            </w:r>
          </w:p>
        </w:tc>
      </w:tr>
    </w:tbl>
    <w:p>
      <w:pPr>
        <w:spacing w:after="160"/>
      </w:pPr>
    </w:p>
    <w:p>
      <w:pPr>
        <w:pStyle w:val="Heading2"/>
        <w:spacing w:after="140" w:before="340"/>
      </w:pPr>
      <w:r>
        <w:rPr>
          <w:rFonts w:ascii="Calibri" w:cs="Calibri" w:eastAsia="Calibri" w:hAnsi="Calibri"/>
          <w:b/>
          <w:bCs/>
          <w:color w:val="0B2A5E"/>
          <w:sz w:val="26"/>
          <w:szCs w:val="26"/>
        </w:rPr>
        <w:t xml:space="preserve">2.8 Importing transactions from Excel</w:t>
      </w:r>
    </w:p>
    <w:p>
      <w:pPr>
        <w:spacing w:after="140" w:line="276"/>
        <w:jc w:val="both"/>
      </w:pPr>
      <w:r>
        <w:rPr>
          <w:rFonts w:ascii="Calibri" w:cs="Calibri" w:eastAsia="Calibri" w:hAnsi="Calibri"/>
          <w:color w:val="1F2937"/>
          <w:sz w:val="21"/>
          <w:szCs w:val="21"/>
        </w:rPr>
        <w:t xml:space="preserve">Every transaction screen has an "Import from Excel" link for entering many documents at once instead of typing them one by one.</w:t>
      </w:r>
    </w:p>
    <w:p>
      <w:pPr>
        <w:pStyle w:val="ListParagraph"/>
        <w:numPr>
          <w:ilvl w:val="0"/>
          <w:numId w:val="2"/>
        </w:numPr>
        <w:spacing w:after="90" w:line="270"/>
        <w:jc w:val="both"/>
      </w:pPr>
      <w:r>
        <w:rPr>
          <w:rFonts w:ascii="Calibri" w:cs="Calibri" w:eastAsia="Calibri" w:hAnsi="Calibri"/>
          <w:color w:val="1F2937"/>
          <w:sz w:val="21"/>
          <w:szCs w:val="21"/>
        </w:rPr>
        <w:t xml:space="preserve">Download the template (.csv) for that transaction type — it's already laid out for exactly what that screen expects.</w:t>
      </w:r>
    </w:p>
    <w:p>
      <w:pPr>
        <w:pStyle w:val="ListParagraph"/>
        <w:numPr>
          <w:ilvl w:val="0"/>
          <w:numId w:val="2"/>
        </w:numPr>
        <w:spacing w:after="90" w:line="270"/>
        <w:jc w:val="both"/>
      </w:pPr>
      <w:r>
        <w:rPr>
          <w:rFonts w:ascii="Calibri" w:cs="Calibri" w:eastAsia="Calibri" w:hAnsi="Calibri"/>
          <w:color w:val="1F2937"/>
          <w:sz w:val="21"/>
          <w:szCs w:val="21"/>
        </w:rPr>
        <w:t xml:space="preserve">Fill it in (an .xlsx file works too) and choose the file. Rows sharing the same document/reference number combine into one multi-line document, e.g. several income lines under one invoice number.</w:t>
      </w:r>
    </w:p>
    <w:p>
      <w:pPr>
        <w:pStyle w:val="ListParagraph"/>
        <w:numPr>
          <w:ilvl w:val="0"/>
          <w:numId w:val="2"/>
        </w:numPr>
        <w:spacing w:after="90" w:line="270"/>
        <w:jc w:val="both"/>
      </w:pPr>
      <w:r>
        <w:rPr>
          <w:rFonts w:ascii="Calibri" w:cs="Calibri" w:eastAsia="Calibri" w:hAnsi="Calibri"/>
          <w:color w:val="1F2937"/>
          <w:sz w:val="21"/>
          <w:szCs w:val="21"/>
        </w:rPr>
        <w:t xml:space="preserve">Click Preview first — ARbixo checks the file without posting anything, and shows you a preview table plus a list of any rows it couldn't import as-is.</w:t>
      </w:r>
    </w:p>
    <w:p>
      <w:pPr>
        <w:pStyle w:val="ListParagraph"/>
        <w:numPr>
          <w:ilvl w:val="0"/>
          <w:numId w:val="2"/>
        </w:numPr>
        <w:spacing w:after="90" w:line="270"/>
        <w:jc w:val="both"/>
      </w:pPr>
      <w:r>
        <w:rPr>
          <w:rFonts w:ascii="Calibri" w:cs="Calibri" w:eastAsia="Calibri" w:hAnsi="Calibri"/>
          <w:color w:val="1F2937"/>
          <w:sz w:val="21"/>
          <w:szCs w:val="21"/>
        </w:rPr>
        <w:t xml:space="preserve">Once the preview looks right, click Import to post it for real. You'll get a result showing how many documents posted successfully and the details of any that failed.</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3. History — Reviewing Posted Transactions</w:t>
      </w:r>
    </w:p>
    <w:p>
      <w:pPr>
        <w:spacing w:after="140" w:line="276"/>
        <w:jc w:val="both"/>
      </w:pPr>
      <w:r>
        <w:rPr>
          <w:rFonts w:ascii="Calibri" w:cs="Calibri" w:eastAsia="Calibri" w:hAnsi="Calibri"/>
          <w:color w:val="1F2937"/>
          <w:sz w:val="21"/>
          <w:szCs w:val="21"/>
        </w:rPr>
        <w:t xml:space="preserve">Every posted Cash Receipt, Sales on Account, Cash Disbursement, Purchase on Account, and General Journal document is browsable under the History menu (Importations doesn't have a History page, since it isn't a ledger transaction).</w:t>
      </w:r>
    </w:p>
    <w:p>
      <w:pPr>
        <w:pStyle w:val="Heading2"/>
        <w:spacing w:after="140" w:before="340"/>
      </w:pPr>
      <w:r>
        <w:rPr>
          <w:rFonts w:ascii="Calibri" w:cs="Calibri" w:eastAsia="Calibri" w:hAnsi="Calibri"/>
          <w:b/>
          <w:bCs/>
          <w:color w:val="0B2A5E"/>
          <w:sz w:val="26"/>
          <w:szCs w:val="26"/>
        </w:rPr>
        <w:t xml:space="preserve">3.1 Finding a document</w:t>
      </w:r>
    </w:p>
    <w:p>
      <w:pPr>
        <w:pStyle w:val="ListParagraph"/>
        <w:numPr>
          <w:ilvl w:val="0"/>
          <w:numId w:val="2"/>
        </w:numPr>
        <w:spacing w:after="90" w:line="270"/>
        <w:jc w:val="both"/>
      </w:pPr>
      <w:r>
        <w:rPr>
          <w:rFonts w:ascii="Calibri" w:cs="Calibri" w:eastAsia="Calibri" w:hAnsi="Calibri"/>
          <w:color w:val="1F2937"/>
          <w:sz w:val="21"/>
          <w:szCs w:val="21"/>
        </w:rPr>
        <w:t xml:space="preserve">Open History → the transaction type you're looking for.</w:t>
      </w:r>
    </w:p>
    <w:p>
      <w:pPr>
        <w:pStyle w:val="ListParagraph"/>
        <w:numPr>
          <w:ilvl w:val="0"/>
          <w:numId w:val="2"/>
        </w:numPr>
        <w:spacing w:after="90" w:line="270"/>
        <w:jc w:val="both"/>
      </w:pPr>
      <w:r>
        <w:rPr>
          <w:rFonts w:ascii="Calibri" w:cs="Calibri" w:eastAsia="Calibri" w:hAnsi="Calibri"/>
          <w:color w:val="1F2937"/>
          <w:sz w:val="21"/>
          <w:szCs w:val="21"/>
        </w:rPr>
        <w:t xml:space="preserve">Narrow the list with a From/To date range and a free-text search that matches the document number, party, or reference — results update live.</w:t>
      </w:r>
    </w:p>
    <w:p>
      <w:pPr>
        <w:pStyle w:val="ListParagraph"/>
        <w:numPr>
          <w:ilvl w:val="0"/>
          <w:numId w:val="2"/>
        </w:numPr>
        <w:spacing w:after="90" w:line="270"/>
        <w:jc w:val="both"/>
      </w:pPr>
      <w:r>
        <w:rPr>
          <w:rFonts w:ascii="Calibri" w:cs="Calibri" w:eastAsia="Calibri" w:hAnsi="Calibri"/>
          <w:color w:val="1F2937"/>
          <w:sz w:val="21"/>
          <w:szCs w:val="21"/>
        </w:rPr>
        <w:t xml:space="preserve">The results table shows Doc no., Date, Party, Net, VAT, W/tax, Amount, any attached Files, and Status (Posted, or Cancelled in red). Cash Disbursement rows also get a direct "Print check" button.</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 downloads whatever's currently on screen.</w:t>
      </w:r>
    </w:p>
    <w:p>
      <w:pPr>
        <w:pStyle w:val="ListParagraph"/>
        <w:numPr>
          <w:ilvl w:val="0"/>
          <w:numId w:val="2"/>
        </w:numPr>
        <w:spacing w:after="90" w:line="270"/>
        <w:jc w:val="both"/>
      </w:pPr>
      <w:r>
        <w:rPr>
          <w:rFonts w:ascii="Calibri" w:cs="Calibri" w:eastAsia="Calibri" w:hAnsi="Calibri"/>
          <w:color w:val="1F2937"/>
          <w:sz w:val="21"/>
          <w:szCs w:val="21"/>
        </w:rPr>
        <w:t xml:space="preserve">Click any row to open the full document — its header, lines, totals, and any attachments — in a read-only view.</w:t>
      </w:r>
    </w:p>
    <w:p>
      <w:pPr>
        <w:pStyle w:val="Heading2"/>
        <w:spacing w:after="140" w:before="340"/>
      </w:pPr>
      <w:r>
        <w:rPr>
          <w:rFonts w:ascii="Calibri" w:cs="Calibri" w:eastAsia="Calibri" w:hAnsi="Calibri"/>
          <w:b/>
          <w:bCs/>
          <w:color w:val="0B2A5E"/>
          <w:sz w:val="26"/>
          <w:szCs w:val="26"/>
        </w:rPr>
        <w:t xml:space="preserve">3.2 Printing and cancelling a posted document</w:t>
      </w:r>
    </w:p>
    <w:p>
      <w:pPr>
        <w:spacing w:after="140" w:line="276"/>
        <w:jc w:val="both"/>
      </w:pPr>
      <w:r>
        <w:rPr>
          <w:rFonts w:ascii="Calibri" w:cs="Calibri" w:eastAsia="Calibri" w:hAnsi="Calibri"/>
          <w:color w:val="1F2937"/>
          <w:sz w:val="21"/>
          <w:szCs w:val="21"/>
        </w:rPr>
        <w:t xml:space="preserve">From a document's detail view, the buttons available depend on the transaction type:</w:t>
      </w:r>
    </w:p>
    <w:p>
      <w:pPr>
        <w:pStyle w:val="ListParagraph"/>
        <w:numPr>
          <w:ilvl w:val="0"/>
          <w:numId w:val="2"/>
        </w:numPr>
        <w:spacing w:after="90" w:line="270"/>
        <w:jc w:val="both"/>
      </w:pPr>
      <w:r>
        <w:rPr>
          <w:rFonts w:ascii="Calibri" w:cs="Calibri" w:eastAsia="Calibri" w:hAnsi="Calibri"/>
          <w:b/>
          <w:bCs/>
          <w:color w:val="1F2937"/>
          <w:sz w:val="21"/>
          <w:szCs w:val="21"/>
        </w:rPr>
        <w:t xml:space="preserve">Print voucher — </w:t>
      </w:r>
      <w:r>
        <w:rPr>
          <w:rFonts w:ascii="Calibri" w:cs="Calibri" w:eastAsia="Calibri" w:hAnsi="Calibri"/>
          <w:color w:val="1F2937"/>
          <w:sz w:val="21"/>
          <w:szCs w:val="21"/>
        </w:rPr>
        <w:t xml:space="preserve">available for Cash Receipt, Cash Disbursement, and Purchase on Account.</w:t>
      </w:r>
    </w:p>
    <w:p>
      <w:pPr>
        <w:pStyle w:val="ListParagraph"/>
        <w:numPr>
          <w:ilvl w:val="0"/>
          <w:numId w:val="2"/>
        </w:numPr>
        <w:spacing w:after="90" w:line="270"/>
        <w:jc w:val="both"/>
      </w:pPr>
      <w:r>
        <w:rPr>
          <w:rFonts w:ascii="Calibri" w:cs="Calibri" w:eastAsia="Calibri" w:hAnsi="Calibri"/>
          <w:b/>
          <w:bCs/>
          <w:color w:val="1F2937"/>
          <w:sz w:val="21"/>
          <w:szCs w:val="21"/>
        </w:rPr>
        <w:t xml:space="preserve">Print 2307 — </w:t>
      </w:r>
      <w:r>
        <w:rPr>
          <w:rFonts w:ascii="Calibri" w:cs="Calibri" w:eastAsia="Calibri" w:hAnsi="Calibri"/>
          <w:color w:val="1F2937"/>
          <w:sz w:val="21"/>
          <w:szCs w:val="21"/>
        </w:rPr>
        <w:t xml:space="preserve">available for Cash Disbursement and Purchase on Account (the BIR withholding certificate for that document).</w:t>
      </w:r>
    </w:p>
    <w:p>
      <w:pPr>
        <w:pStyle w:val="ListParagraph"/>
        <w:numPr>
          <w:ilvl w:val="0"/>
          <w:numId w:val="2"/>
        </w:numPr>
        <w:spacing w:after="90" w:line="270"/>
        <w:jc w:val="both"/>
      </w:pPr>
      <w:r>
        <w:rPr>
          <w:rFonts w:ascii="Calibri" w:cs="Calibri" w:eastAsia="Calibri" w:hAnsi="Calibri"/>
          <w:b/>
          <w:bCs/>
          <w:color w:val="1F2937"/>
          <w:sz w:val="21"/>
          <w:szCs w:val="21"/>
        </w:rPr>
        <w:t xml:space="preserve">Cancel transaction — </w:t>
      </w:r>
      <w:r>
        <w:rPr>
          <w:rFonts w:ascii="Calibri" w:cs="Calibri" w:eastAsia="Calibri" w:hAnsi="Calibri"/>
          <w:color w:val="1F2937"/>
          <w:sz w:val="21"/>
          <w:szCs w:val="21"/>
        </w:rPr>
        <w:t xml:space="preserve">available on any document that isn't already cancelled. You'll be asked to type a reason, which is required.</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Cancelling doesn't delete or edit the original document — it posts an exact mirror-image reversal (its document number with a "-C" suffix), and marks both the original and the reversal as Cancelled. The financial effect disappears from every report, but both documents stay visible in History for a full audit trail. A document can only be cancelled once. Both User and Manager accounts can cancel their own company's posted documents — this isn't a Manager-only power.</w:t>
            </w:r>
          </w:p>
        </w:tc>
      </w:tr>
    </w:tbl>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4. Financial Reports</w:t>
      </w:r>
    </w:p>
    <w:p>
      <w:pPr>
        <w:spacing w:after="140" w:line="276"/>
        <w:jc w:val="both"/>
      </w:pPr>
      <w:r>
        <w:rPr>
          <w:rFonts w:ascii="Calibri" w:cs="Calibri" w:eastAsia="Calibri" w:hAnsi="Calibri"/>
          <w:color w:val="1F2937"/>
          <w:sz w:val="21"/>
          <w:szCs w:val="21"/>
        </w:rPr>
        <w:t xml:space="preserve">Under Financial Report you'll find the standard set of statements every business needs, all generated live from what you've posted — nothing here needs a separate "closing" step.</w:t>
      </w:r>
    </w:p>
    <w:p>
      <w:pPr>
        <w:pStyle w:val="Heading2"/>
        <w:spacing w:after="140" w:before="340"/>
      </w:pPr>
      <w:r>
        <w:rPr>
          <w:rFonts w:ascii="Calibri" w:cs="Calibri" w:eastAsia="Calibri" w:hAnsi="Calibri"/>
          <w:b/>
          <w:bCs/>
          <w:color w:val="0B2A5E"/>
          <w:sz w:val="26"/>
          <w:szCs w:val="26"/>
        </w:rPr>
        <w:t xml:space="preserve">4.1 Trial balance</w:t>
      </w:r>
    </w:p>
    <w:p>
      <w:pPr>
        <w:pStyle w:val="Heading3"/>
        <w:spacing w:after="100" w:before="220"/>
      </w:pPr>
      <w:r>
        <w:rPr>
          <w:rFonts w:ascii="Calibri" w:cs="Calibri" w:eastAsia="Calibri" w:hAnsi="Calibri"/>
          <w:b/>
          <w:bCs/>
          <w:color w:val="1F2937"/>
          <w:sz w:val="22"/>
          <w:szCs w:val="22"/>
        </w:rPr>
        <w:t xml:space="preserve">Trial balance</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Trial balance</w:t>
      </w:r>
    </w:p>
    <w:p>
      <w:pPr>
        <w:spacing w:after="140" w:line="276"/>
        <w:jc w:val="both"/>
      </w:pPr>
      <w:r>
        <w:rPr>
          <w:rFonts w:ascii="Calibri" w:cs="Calibri" w:eastAsia="Calibri" w:hAnsi="Calibri"/>
          <w:color w:val="1F2937"/>
          <w:sz w:val="21"/>
          <w:szCs w:val="21"/>
        </w:rPr>
        <w:t xml:space="preserve">Every account's balance in one list, grouped by classification, with a check that debits equal credits.</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(consolidated or one branch).</w:t>
      </w:r>
    </w:p>
    <w:p>
      <w:pPr>
        <w:pStyle w:val="ListParagraph"/>
        <w:numPr>
          <w:ilvl w:val="0"/>
          <w:numId w:val="2"/>
        </w:numPr>
        <w:spacing w:after="90" w:line="270"/>
        <w:jc w:val="both"/>
      </w:pPr>
      <w:r>
        <w:rPr>
          <w:rFonts w:ascii="Calibri" w:cs="Calibri" w:eastAsia="Calibri" w:hAnsi="Calibri"/>
          <w:color w:val="1F2937"/>
          <w:sz w:val="21"/>
          <w:szCs w:val="21"/>
        </w:rPr>
        <w:t xml:space="preserve">Mode: "Year to date" (an As of date; the balance includes everything posted up to that date) or "Current net change" (a From/To range; movement only, no opening balance).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4.2 Balance sheet</w:t>
      </w:r>
    </w:p>
    <w:p>
      <w:pPr>
        <w:pStyle w:val="Heading3"/>
        <w:spacing w:after="100" w:before="220"/>
      </w:pPr>
      <w:r>
        <w:rPr>
          <w:rFonts w:ascii="Calibri" w:cs="Calibri" w:eastAsia="Calibri" w:hAnsi="Calibri"/>
          <w:b/>
          <w:bCs/>
          <w:color w:val="1F2937"/>
          <w:sz w:val="22"/>
          <w:szCs w:val="22"/>
        </w:rPr>
        <w:t xml:space="preserve">Balance sheet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Balance sheet</w:t>
      </w:r>
    </w:p>
    <w:p>
      <w:pPr>
        <w:spacing w:after="140" w:line="276"/>
        <w:jc w:val="both"/>
      </w:pPr>
      <w:r>
        <w:rPr>
          <w:rFonts w:ascii="Calibri" w:cs="Calibri" w:eastAsia="Calibri" w:hAnsi="Calibri"/>
          <w:color w:val="1F2937"/>
          <w:sz w:val="21"/>
          <w:szCs w:val="21"/>
        </w:rPr>
        <w:t xml:space="preserve">Assets, Liabilities, and Equity as of a chosen date.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an As of date; a Fiscal year start date (auto-set from your company's fiscal month-end, editable); quick Month-end / Quarter-end / Year-end preset buttons.</w:t>
      </w:r>
    </w:p>
    <w:p>
      <w:pPr>
        <w:pStyle w:val="ListParagraph"/>
        <w:numPr>
          <w:ilvl w:val="0"/>
          <w:numId w:val="2"/>
        </w:numPr>
        <w:spacing w:after="90" w:line="270"/>
        <w:jc w:val="both"/>
      </w:pPr>
      <w:r>
        <w:rPr>
          <w:rFonts w:ascii="Calibri" w:cs="Calibri" w:eastAsia="Calibri" w:hAnsi="Calibri"/>
          <w:color w:val="1F2937"/>
          <w:sz w:val="21"/>
          <w:szCs w:val="21"/>
        </w:rPr>
        <w:t xml:space="preserve">The Equity section includes Current period earnings, and — if it applies — a highlighted Prior years' unclosed earnings line.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4.3 Income statement</w:t>
      </w:r>
    </w:p>
    <w:p>
      <w:pPr>
        <w:pStyle w:val="Heading3"/>
        <w:spacing w:after="100" w:before="220"/>
      </w:pPr>
      <w:r>
        <w:rPr>
          <w:rFonts w:ascii="Calibri" w:cs="Calibri" w:eastAsia="Calibri" w:hAnsi="Calibri"/>
          <w:b/>
          <w:bCs/>
          <w:color w:val="1F2937"/>
          <w:sz w:val="22"/>
          <w:szCs w:val="22"/>
        </w:rPr>
        <w:t xml:space="preserve">Income statement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Income statement</w:t>
      </w:r>
    </w:p>
    <w:p>
      <w:pPr>
        <w:spacing w:after="140" w:line="276"/>
        <w:jc w:val="both"/>
      </w:pPr>
      <w:r>
        <w:rPr>
          <w:rFonts w:ascii="Calibri" w:cs="Calibri" w:eastAsia="Calibri" w:hAnsi="Calibri"/>
          <w:color w:val="1F2937"/>
          <w:sz w:val="21"/>
          <w:szCs w:val="21"/>
        </w:rPr>
        <w:t xml:space="preserve">Revenue less Expenses, with Net income or loss, over a period you choose.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a Period selector — Monthly, Quarterly, Annual, or a Custom date range.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4.4 Equity statement</w:t>
      </w:r>
    </w:p>
    <w:p>
      <w:pPr>
        <w:pStyle w:val="Heading3"/>
        <w:spacing w:after="100" w:before="220"/>
      </w:pPr>
      <w:r>
        <w:rPr>
          <w:rFonts w:ascii="Calibri" w:cs="Calibri" w:eastAsia="Calibri" w:hAnsi="Calibri"/>
          <w:b/>
          <w:bCs/>
          <w:color w:val="1F2937"/>
          <w:sz w:val="22"/>
          <w:szCs w:val="22"/>
        </w:rPr>
        <w:t xml:space="preserve">Equity statement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Equity statement</w:t>
      </w:r>
    </w:p>
    <w:p>
      <w:pPr>
        <w:spacing w:after="140" w:line="276"/>
        <w:jc w:val="both"/>
      </w:pPr>
      <w:r>
        <w:rPr>
          <w:rFonts w:ascii="Calibri" w:cs="Calibri" w:eastAsia="Calibri" w:hAnsi="Calibri"/>
          <w:color w:val="1F2937"/>
          <w:sz w:val="21"/>
          <w:szCs w:val="21"/>
        </w:rPr>
        <w:t xml:space="preserve">How equity moved over a period: beginning balance, net income or loss, contributions or drawings, and the ending balance.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From/To date range.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4.5 Cash flow statement</w:t>
      </w:r>
    </w:p>
    <w:p>
      <w:pPr>
        <w:pStyle w:val="Heading3"/>
        <w:spacing w:after="100" w:before="220"/>
      </w:pPr>
      <w:r>
        <w:rPr>
          <w:rFonts w:ascii="Calibri" w:cs="Calibri" w:eastAsia="Calibri" w:hAnsi="Calibri"/>
          <w:b/>
          <w:bCs/>
          <w:color w:val="1F2937"/>
          <w:sz w:val="22"/>
          <w:szCs w:val="22"/>
        </w:rPr>
        <w:t xml:space="preserve">Cash flow statement</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Cash flow statement</w:t>
      </w:r>
    </w:p>
    <w:p>
      <w:pPr>
        <w:spacing w:after="140" w:line="276"/>
        <w:jc w:val="both"/>
      </w:pPr>
      <w:r>
        <w:rPr>
          <w:rFonts w:ascii="Calibri" w:cs="Calibri" w:eastAsia="Calibri" w:hAnsi="Calibri"/>
          <w:color w:val="1F2937"/>
          <w:sz w:val="21"/>
          <w:szCs w:val="21"/>
        </w:rPr>
        <w:t xml:space="preserve">Where cash came from and went, indirect method — operating, investing, and financing activities.</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Period selector (Monthly / Quarterly / Annual / Custom).</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4.6 Debtors' / creditors' ledger</w:t>
      </w:r>
    </w:p>
    <w:p>
      <w:pPr>
        <w:pStyle w:val="Heading3"/>
        <w:spacing w:after="100" w:before="220"/>
      </w:pPr>
      <w:r>
        <w:rPr>
          <w:rFonts w:ascii="Calibri" w:cs="Calibri" w:eastAsia="Calibri" w:hAnsi="Calibri"/>
          <w:b/>
          <w:bCs/>
          <w:color w:val="1F2937"/>
          <w:sz w:val="22"/>
          <w:szCs w:val="22"/>
        </w:rPr>
        <w:t xml:space="preserve">Debtors' / creditors' ledger</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Debtors' / creditors' ledger</w:t>
      </w:r>
    </w:p>
    <w:p>
      <w:pPr>
        <w:spacing w:after="140" w:line="276"/>
        <w:jc w:val="both"/>
      </w:pPr>
      <w:r>
        <w:rPr>
          <w:rFonts w:ascii="Calibri" w:cs="Calibri" w:eastAsia="Calibri" w:hAnsi="Calibri"/>
          <w:color w:val="1F2937"/>
          <w:sz w:val="21"/>
          <w:szCs w:val="21"/>
        </w:rPr>
        <w:t xml:space="preserve">One customer's or one vendor's full Accounts Receivable / Payable movement history — every transaction that affected what they owe you, or you owe them.</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A Type switch (Customer / Vendor), a party picker, Branch filter, and a From/To date range. Shows a Beginning balance, every movement, and an Ending balance.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4.7 General ledger</w:t>
      </w:r>
    </w:p>
    <w:p>
      <w:pPr>
        <w:pStyle w:val="Heading3"/>
        <w:spacing w:after="100" w:before="220"/>
      </w:pPr>
      <w:r>
        <w:rPr>
          <w:rFonts w:ascii="Calibri" w:cs="Calibri" w:eastAsia="Calibri" w:hAnsi="Calibri"/>
          <w:b/>
          <w:bCs/>
          <w:color w:val="1F2937"/>
          <w:sz w:val="22"/>
          <w:szCs w:val="22"/>
        </w:rPr>
        <w:t xml:space="preserve">General ledger</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General ledger</w:t>
      </w:r>
    </w:p>
    <w:p>
      <w:pPr>
        <w:spacing w:after="140" w:line="276"/>
        <w:jc w:val="both"/>
      </w:pPr>
      <w:r>
        <w:rPr>
          <w:rFonts w:ascii="Calibri" w:cs="Calibri" w:eastAsia="Calibri" w:hAnsi="Calibri"/>
          <w:color w:val="1F2937"/>
          <w:sz w:val="21"/>
          <w:szCs w:val="21"/>
        </w:rPr>
        <w:t xml:space="preserve">Every posted line for one account you pick, in date order, with a running balance.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Branch filter; an Account picker; From/To date range.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4.8 Customer balance summary</w:t>
      </w:r>
    </w:p>
    <w:p>
      <w:pPr>
        <w:pStyle w:val="Heading3"/>
        <w:spacing w:after="100" w:before="220"/>
      </w:pPr>
      <w:r>
        <w:rPr>
          <w:rFonts w:ascii="Calibri" w:cs="Calibri" w:eastAsia="Calibri" w:hAnsi="Calibri"/>
          <w:b/>
          <w:bCs/>
          <w:color w:val="1F2937"/>
          <w:sz w:val="22"/>
          <w:szCs w:val="22"/>
        </w:rPr>
        <w:t xml:space="preserve">Customer balance summary</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Financial Report → Customer balance summary</w:t>
      </w:r>
    </w:p>
    <w:p>
      <w:pPr>
        <w:spacing w:after="140" w:line="276"/>
        <w:jc w:val="both"/>
      </w:pPr>
      <w:r>
        <w:rPr>
          <w:rFonts w:ascii="Calibri" w:cs="Calibri" w:eastAsia="Calibri" w:hAnsi="Calibri"/>
          <w:color w:val="1F2937"/>
          <w:sz w:val="21"/>
          <w:szCs w:val="21"/>
        </w:rPr>
        <w:t xml:space="preserve">Every customer's current open (unpaid) Accounts Receivable balance, in one list — this is your AR aging at a glance.</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An optional From/To date range narrows which invoices are included (leave both blank for "All Dates"); a Clear link resets it.</w:t>
      </w:r>
    </w:p>
    <w:p>
      <w:pPr>
        <w:pStyle w:val="ListParagraph"/>
        <w:numPr>
          <w:ilvl w:val="0"/>
          <w:numId w:val="2"/>
        </w:numPr>
        <w:spacing w:after="90" w:line="270"/>
        <w:jc w:val="both"/>
      </w:pPr>
      <w:r>
        <w:rPr>
          <w:rFonts w:ascii="Calibri" w:cs="Calibri" w:eastAsia="Calibri" w:hAnsi="Calibri"/>
          <w:color w:val="1F2937"/>
          <w:sz w:val="21"/>
          <w:szCs w:val="21"/>
        </w:rPr>
        <w:t xml:space="preserve">Click any customer's total to drill into their open invoices and credit notes, with a running balance.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Detail report — opens a single continuous document listing every customer with a balance, grouped with their own open items and a subtotal, followed by a grand total.</w:t>
      </w:r>
    </w:p>
    <w:p>
      <w:pPr>
        <w:pStyle w:val="ListParagraph"/>
        <w:numPr>
          <w:ilvl w:val="0"/>
          <w:numId w:val="2"/>
        </w:numPr>
        <w:spacing w:after="90" w:line="270"/>
        <w:jc w:val="both"/>
      </w:pPr>
      <w:r>
        <w:rPr>
          <w:rFonts w:ascii="Calibri" w:cs="Calibri" w:eastAsia="Calibri" w:hAnsi="Calibri"/>
          <w:color w:val="1F2937"/>
          <w:sz w:val="21"/>
          <w:szCs w:val="21"/>
        </w:rPr>
        <w:t xml:space="preserve">Print and Export to Excel are available on the summary, the per-customer drill-down, and the company-wide Detail report.</w:t>
      </w:r>
    </w:p>
    <w:p>
      <w:pPr>
        <w:spacing w:after="160"/>
      </w:pPr>
    </w:p>
    <w:p>
      <w:pPr>
        <w:pStyle w:val="Heading2"/>
        <w:spacing w:after="140" w:before="340"/>
      </w:pPr>
      <w:r>
        <w:rPr>
          <w:rFonts w:ascii="Calibri" w:cs="Calibri" w:eastAsia="Calibri" w:hAnsi="Calibri"/>
          <w:b/>
          <w:bCs/>
          <w:color w:val="0B2A5E"/>
          <w:sz w:val="26"/>
          <w:szCs w:val="26"/>
        </w:rPr>
        <w:t xml:space="preserve">4.9 Vendor balance summary</w:t>
      </w:r>
    </w:p>
    <w:p>
      <w:pPr>
        <w:spacing w:after="140" w:line="276"/>
        <w:jc w:val="both"/>
      </w:pPr>
      <w:r>
        <w:rPr>
          <w:rFonts w:ascii="Calibri" w:cs="Calibri" w:eastAsia="Calibri" w:hAnsi="Calibri"/>
          <w:color w:val="1F2937"/>
          <w:sz w:val="21"/>
          <w:szCs w:val="21"/>
        </w:rPr>
        <w:t xml:space="preserve">The exact mirror of Customer balance summary, for what your company owes: every vendor's open Accounts Payable balance, the same date-range filter, a per-vendor drill-down into open bills and credit notes, and a company-wide Detail report. Found at Financial Report → Vendor balance summary.</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5. BIR Reports</w:t>
      </w:r>
    </w:p>
    <w:p>
      <w:pPr>
        <w:spacing w:after="140" w:line="276"/>
        <w:jc w:val="both"/>
      </w:pPr>
      <w:r>
        <w:rPr>
          <w:rFonts w:ascii="Calibri" w:cs="Calibri" w:eastAsia="Calibri" w:hAnsi="Calibri"/>
          <w:color w:val="1F2937"/>
          <w:sz w:val="21"/>
          <w:szCs w:val="21"/>
        </w:rPr>
        <w:t xml:space="preserve">This is where ARbixo turns your posted transactions into the figures and files you need for BIR compliance. Treat these as a strong head start, not a final filing — always review the numbers before you submit anything to the BIR.</w:t>
      </w:r>
    </w:p>
    <w:p>
      <w:pPr>
        <w:pStyle w:val="Heading2"/>
        <w:spacing w:after="140" w:before="340"/>
      </w:pPr>
      <w:r>
        <w:rPr>
          <w:rFonts w:ascii="Calibri" w:cs="Calibri" w:eastAsia="Calibri" w:hAnsi="Calibri"/>
          <w:b/>
          <w:bCs/>
          <w:color w:val="0B2A5E"/>
          <w:sz w:val="26"/>
          <w:szCs w:val="26"/>
        </w:rPr>
        <w:t xml:space="preserve">5.1 VAT Return</w:t>
      </w:r>
    </w:p>
    <w:p>
      <w:pPr>
        <w:pStyle w:val="Heading3"/>
        <w:spacing w:after="100" w:before="220"/>
      </w:pPr>
      <w:r>
        <w:rPr>
          <w:rFonts w:ascii="Calibri" w:cs="Calibri" w:eastAsia="Calibri" w:hAnsi="Calibri"/>
          <w:b/>
          <w:bCs/>
          <w:color w:val="1F2937"/>
          <w:sz w:val="22"/>
          <w:szCs w:val="22"/>
        </w:rPr>
        <w:t xml:space="preserve">VAT Return</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BIR Reports → VAT Return</w:t>
      </w:r>
    </w:p>
    <w:p>
      <w:pPr>
        <w:spacing w:after="140" w:line="276"/>
        <w:jc w:val="both"/>
      </w:pPr>
      <w:r>
        <w:rPr>
          <w:rFonts w:ascii="Calibri" w:cs="Calibri" w:eastAsia="Calibri" w:hAnsi="Calibri"/>
          <w:color w:val="1F2937"/>
          <w:sz w:val="21"/>
          <w:szCs w:val="21"/>
        </w:rPr>
        <w:t xml:space="preserve">Mirrors BIR Form 2550Q, Part IV (Details of VAT Computation). Sales and purchase figures are pulled automatically from your posted entries; a few adjustment lines (like a VAT refund claimed) are entered manually.</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Period selector (defaults to Quarterly); Branch filter. Your company's TIN and Registered Name are shown for reference.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5.2 Expanded Withholding Tax</w:t>
      </w:r>
    </w:p>
    <w:p>
      <w:pPr>
        <w:pStyle w:val="Heading3"/>
        <w:spacing w:after="100" w:before="220"/>
      </w:pPr>
      <w:r>
        <w:rPr>
          <w:rFonts w:ascii="Calibri" w:cs="Calibri" w:eastAsia="Calibri" w:hAnsi="Calibri"/>
          <w:b/>
          <w:bCs/>
          <w:color w:val="1F2937"/>
          <w:sz w:val="22"/>
          <w:szCs w:val="22"/>
        </w:rPr>
        <w:t xml:space="preserve">Expanded Withholding Tax</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BIR Reports → Expanded Withholding Tax</w:t>
      </w:r>
    </w:p>
    <w:p>
      <w:pPr>
        <w:spacing w:after="140" w:line="276"/>
        <w:jc w:val="both"/>
      </w:pPr>
      <w:r>
        <w:rPr>
          <w:rFonts w:ascii="Calibri" w:cs="Calibri" w:eastAsia="Calibri" w:hAnsi="Calibri"/>
          <w:color w:val="1F2937"/>
          <w:sz w:val="21"/>
          <w:szCs w:val="21"/>
        </w:rPr>
        <w:t xml:space="preserve">Mirrors BIR Form 1601-EQ. Tax withheld is computed from your posted Purchase on Account and Cash Disbursement entries, broken down per withholding (ATC) code; remittances and penalties are entered manually.</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Period selector; Branch filter.</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5.3 Certificate of Tax Withheld (2307)</w:t>
      </w:r>
    </w:p>
    <w:p>
      <w:pPr>
        <w:pStyle w:val="Heading3"/>
        <w:spacing w:after="100" w:before="220"/>
      </w:pPr>
      <w:r>
        <w:rPr>
          <w:rFonts w:ascii="Calibri" w:cs="Calibri" w:eastAsia="Calibri" w:hAnsi="Calibri"/>
          <w:b/>
          <w:bCs/>
          <w:color w:val="1F2937"/>
          <w:sz w:val="22"/>
          <w:szCs w:val="22"/>
        </w:rPr>
        <w:t xml:space="preserve">Certificate of Tax Withheld (2307)</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BIR Reports → Certificate of Tax Withheld (2307)</w:t>
      </w:r>
    </w:p>
    <w:p>
      <w:pPr>
        <w:spacing w:after="140" w:line="276"/>
        <w:jc w:val="both"/>
      </w:pPr>
      <w:r>
        <w:rPr>
          <w:rFonts w:ascii="Calibri" w:cs="Calibri" w:eastAsia="Calibri" w:hAnsi="Calibri"/>
          <w:color w:val="1F2937"/>
          <w:sz w:val="21"/>
          <w:szCs w:val="21"/>
        </w:rPr>
        <w:t xml:space="preserve">Generates the actual BIR Form 2307 certificate for each payee you withheld tax from during the period — one certificate per payee per ATC code, split across the quarter's three months.</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Period selector (defaults to Quarterly); Branch filter.</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"Print all" produces a single stamped PDF of every certificate for the period.</w:t>
      </w:r>
    </w:p>
    <w:p>
      <w:pPr>
        <w:pStyle w:val="ListParagraph"/>
        <w:numPr>
          <w:ilvl w:val="0"/>
          <w:numId w:val="2"/>
        </w:numPr>
        <w:spacing w:after="90" w:line="270"/>
        <w:jc w:val="both"/>
      </w:pPr>
      <w:r>
        <w:rPr>
          <w:rFonts w:ascii="Calibri" w:cs="Calibri" w:eastAsia="Calibri" w:hAnsi="Calibri"/>
          <w:color w:val="1F2937"/>
          <w:sz w:val="21"/>
          <w:szCs w:val="21"/>
        </w:rPr>
        <w:t xml:space="preserve">Each payee's row also has its own "Print 2307" button, for handing a certificate to just that one payee.</w:t>
      </w:r>
    </w:p>
    <w:p>
      <w:pPr>
        <w:pStyle w:val="ListParagraph"/>
        <w:numPr>
          <w:ilvl w:val="0"/>
          <w:numId w:val="2"/>
        </w:numPr>
        <w:spacing w:after="90" w:line="270"/>
        <w:jc w:val="both"/>
      </w:pPr>
      <w:r>
        <w:rPr>
          <w:rFonts w:ascii="Calibri" w:cs="Calibri" w:eastAsia="Calibri" w:hAnsi="Calibri"/>
          <w:color w:val="1F2937"/>
          <w:sz w:val="21"/>
          <w:szCs w:val="21"/>
        </w:rPr>
        <w:t xml:space="preserve">Export to Excel.</w:t>
      </w:r>
    </w:p>
    <w:p>
      <w:pPr>
        <w:spacing w:after="160"/>
      </w:pPr>
    </w:p>
    <w:p>
      <w:pPr>
        <w:pStyle w:val="Heading2"/>
        <w:spacing w:after="140" w:before="340"/>
      </w:pPr>
      <w:r>
        <w:rPr>
          <w:rFonts w:ascii="Calibri" w:cs="Calibri" w:eastAsia="Calibri" w:hAnsi="Calibri"/>
          <w:b/>
          <w:bCs/>
          <w:color w:val="0B2A5E"/>
          <w:sz w:val="26"/>
          <w:szCs w:val="26"/>
        </w:rPr>
        <w:t xml:space="preserve">5.4 Relief Files: SLS, SLP, SLI, QAP, SAWT</w:t>
      </w:r>
    </w:p>
    <w:p>
      <w:pPr>
        <w:spacing w:after="140" w:line="276"/>
        <w:jc w:val="both"/>
      </w:pPr>
      <w:r>
        <w:rPr>
          <w:rFonts w:ascii="Calibri" w:cs="Calibri" w:eastAsia="Calibri" w:hAnsi="Calibri"/>
          <w:color w:val="1F2937"/>
          <w:sz w:val="21"/>
          <w:szCs w:val="21"/>
        </w:rPr>
        <w:t xml:space="preserve">These five reports, grouped under "Relief Files," are built specifically for BIR's RELIEF/eSubmission system — each one exports an official ".DAT" text file, laid out exactly the way BIR's data-entry and validation module expects it, ready for direct upload. The Excel export on each screen is just a human-readable copy of the same data for your own review.</w:t>
      </w:r>
    </w:p>
    <w:tbl>
      <w:tblPr>
        <w:tblW w:type="dxa" w:w="9800"/>
        <w:tblBorders>
          <w:top w:val="single" w:color="D1D5DB" w:sz="4"/>
          <w:left w:val="single" w:color="D1D5DB" w:sz="4"/>
          <w:bottom w:val="single" w:color="D1D5DB" w:sz="4"/>
          <w:right w:val="single" w:color="D1D5DB" w:sz="4"/>
          <w:insideH w:val="single" w:color="D1D5DB" w:sz="2"/>
          <w:insideV w:val="single" w:color="D1D5DB" w:sz="2"/>
        </w:tblBorders>
      </w:tblPr>
      <w:tblGrid>
        <w:gridCol w:w="2400"/>
        <w:gridCol w:w="5600"/>
        <w:gridCol w:w="1800"/>
      </w:tblGrid>
      <w:tr>
        <w:trPr>
          <w:tblHeader/>
        </w:trPr>
        <w:tc>
          <w:tcPr>
            <w:tcW w:type="dxa" w:w="24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Report</w:t>
            </w:r>
          </w:p>
        </w:tc>
        <w:tc>
          <w:tcPr>
            <w:tcW w:type="dxa" w:w="56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What it lists</w:t>
            </w:r>
          </w:p>
        </w:tc>
        <w:tc>
          <w:tcPr>
            <w:tcW w:type="dxa" w:w="1800"/>
            <w:shd w:fill="0B2A5E"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Feeds BIR form</w:t>
            </w:r>
          </w:p>
        </w:tc>
      </w:tr>
      <w:tr>
        <w:tc>
          <w:tcPr>
            <w:tcW w:type="dxa" w:w="24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Summary List of Sales (SLS)</w:t>
            </w:r>
          </w:p>
        </w:tc>
        <w:tc>
          <w:tcPr>
            <w:tcW w:type="dxa" w:w="56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Every customer you sold to in the period, with exempt/zero-rated/taxable sales and output tax</w:t>
            </w:r>
          </w:p>
        </w:tc>
        <w:tc>
          <w:tcPr>
            <w:tcW w:type="dxa" w:w="18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2550Q attachment</w:t>
            </w:r>
          </w:p>
        </w:tc>
      </w:tr>
      <w:tr>
        <w:tc>
          <w:tcPr>
            <w:tcW w:type="dxa" w:w="24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Summary List of Purchases (SLP)</w:t>
            </w:r>
          </w:p>
        </w:tc>
        <w:tc>
          <w:tcPr>
            <w:tcW w:type="dxa" w:w="56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Every supplier you bought from, split into goods/services/capital goods, with input tax</w:t>
            </w:r>
          </w:p>
        </w:tc>
        <w:tc>
          <w:tcPr>
            <w:tcW w:type="dxa" w:w="18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2550Q attachment</w:t>
            </w:r>
          </w:p>
        </w:tc>
      </w:tr>
      <w:tr>
        <w:tc>
          <w:tcPr>
            <w:tcW w:type="dxa" w:w="24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Summary List of Importations (SLI)</w:t>
            </w:r>
          </w:p>
        </w:tc>
        <w:tc>
          <w:tcPr>
            <w:tcW w:type="dxa" w:w="56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Every recorded importation, with dutiable value, charges, and VAT</w:t>
            </w:r>
          </w:p>
        </w:tc>
        <w:tc>
          <w:tcPr>
            <w:tcW w:type="dxa" w:w="18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2550Q attachment</w:t>
            </w:r>
          </w:p>
        </w:tc>
      </w:tr>
      <w:tr>
        <w:tc>
          <w:tcPr>
            <w:tcW w:type="dxa" w:w="24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Quarterly Alphalist of Payees (QAP)</w:t>
            </w:r>
          </w:p>
        </w:tc>
        <w:tc>
          <w:tcPr>
            <w:tcW w:type="dxa" w:w="56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Payees you withheld expanded withholding tax FROM, per ATC code</w:t>
            </w:r>
          </w:p>
        </w:tc>
        <w:tc>
          <w:tcPr>
            <w:tcW w:type="dxa" w:w="1800"/>
            <w:shd w:fill="F3F6FA"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1601-EQ attachment</w:t>
            </w:r>
          </w:p>
        </w:tc>
      </w:tr>
      <w:tr>
        <w:tc>
          <w:tcPr>
            <w:tcW w:type="dxa" w:w="24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Summary Alphalist of Withholding Taxes (SAWT)</w:t>
            </w:r>
          </w:p>
        </w:tc>
        <w:tc>
          <w:tcPr>
            <w:tcW w:type="dxa" w:w="56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The reverse of QAP — tax your own customers withheld FROM you, evidenced by 2307s you received</w:t>
            </w:r>
          </w:p>
        </w:tc>
        <w:tc>
          <w:tcPr>
            <w:tcW w:type="dxa" w:w="1800"/>
            <w:shd w:fill="FFFFFF" w:val="clear"/>
            <w:tcMar>
              <w:top w:type="dxa" w:w="70"/>
              <w:left w:type="dxa" w:w="100"/>
              <w:bottom w:type="dxa" w:w="70"/>
              <w:right w:type="dxa" w:w="100"/>
            </w:tcMar>
            <w:vAlign w:val="center"/>
          </w:tcPr>
          <w:p>
            <w:pPr>
              <w:spacing w:line="250"/>
            </w:pPr>
            <w:r>
              <w:rPr>
                <w:rFonts w:ascii="Calibri" w:cs="Calibri" w:eastAsia="Calibri" w:hAnsi="Calibri"/>
                <w:color w:val="1F2937"/>
                <w:sz w:val="18"/>
                <w:szCs w:val="18"/>
              </w:rPr>
              <w:t xml:space="preserve">Income tax return attachment</w:t>
            </w:r>
          </w:p>
        </w:tc>
      </w:tr>
    </w:tbl>
    <w:p>
      <w:pPr>
        <w:spacing w:after="160"/>
      </w:pPr>
    </w:p>
    <w:p>
      <w:pPr>
        <w:pStyle w:val="ListParagraph"/>
        <w:numPr>
          <w:ilvl w:val="0"/>
          <w:numId w:val="2"/>
        </w:numPr>
        <w:spacing w:after="90" w:line="270"/>
        <w:jc w:val="both"/>
      </w:pPr>
      <w:r>
        <w:rPr>
          <w:rFonts w:ascii="Calibri" w:cs="Calibri" w:eastAsia="Calibri" w:hAnsi="Calibri"/>
          <w:color w:val="1F2937"/>
          <w:sz w:val="21"/>
          <w:szCs w:val="21"/>
        </w:rPr>
        <w:t xml:space="preserve">Each of the five has a Period selector (SLI and QAP/SAWT don't include a Branch filter) and three actions: Export BIR .DAT, Export to Excel, and Print.</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6. Books of Accounts</w:t>
      </w:r>
    </w:p>
    <w:p>
      <w:pPr>
        <w:spacing w:after="140" w:line="276"/>
        <w:jc w:val="both"/>
      </w:pPr>
      <w:r>
        <w:rPr>
          <w:rFonts w:ascii="Calibri" w:cs="Calibri" w:eastAsia="Calibri" w:hAnsi="Calibri"/>
          <w:color w:val="1F2937"/>
          <w:sz w:val="21"/>
          <w:szCs w:val="21"/>
        </w:rPr>
        <w:t xml:space="preserve">Where Financial Report shows you summarized statements, Books of Accounts shows the traditional bound-book layouts your bookkeeper and accountant expect — organized by journal, printable in the format examiners are used to seeing.</w:t>
      </w:r>
    </w:p>
    <w:p>
      <w:pPr>
        <w:pStyle w:val="Heading2"/>
        <w:spacing w:after="140" w:before="340"/>
      </w:pPr>
      <w:r>
        <w:rPr>
          <w:rFonts w:ascii="Calibri" w:cs="Calibri" w:eastAsia="Calibri" w:hAnsi="Calibri"/>
          <w:b/>
          <w:bCs/>
          <w:color w:val="0B2A5E"/>
          <w:sz w:val="26"/>
          <w:szCs w:val="26"/>
        </w:rPr>
        <w:t xml:space="preserve">6.1 Cash Receipts Journal, Cash Disbursement Journal, General Journal</w:t>
      </w:r>
    </w:p>
    <w:p>
      <w:pPr>
        <w:spacing w:after="140" w:line="276"/>
        <w:jc w:val="both"/>
      </w:pPr>
      <w:r>
        <w:rPr>
          <w:rFonts w:ascii="Calibri" w:cs="Calibri" w:eastAsia="Calibri" w:hAnsi="Calibri"/>
          <w:color w:val="1F2937"/>
          <w:sz w:val="21"/>
          <w:szCs w:val="21"/>
        </w:rPr>
        <w:t xml:space="preserve">All three share the same layout: a chronological listing grouped by document, showing Date, Doc No., the party ("Received from", "Paid to", or "Party" depending on which book), Account, Debit, and Credit, with a grand total. Each has a Branch filter and a From/To date range (defaulting to month-to-date), and Print / Export to Excel.</w:t>
      </w:r>
    </w:p>
    <w:p>
      <w:pPr>
        <w:pStyle w:val="Heading2"/>
        <w:spacing w:after="140" w:before="340"/>
      </w:pPr>
      <w:r>
        <w:rPr>
          <w:rFonts w:ascii="Calibri" w:cs="Calibri" w:eastAsia="Calibri" w:hAnsi="Calibri"/>
          <w:b/>
          <w:bCs/>
          <w:color w:val="0B2A5E"/>
          <w:sz w:val="26"/>
          <w:szCs w:val="26"/>
        </w:rPr>
        <w:t xml:space="preserve">6.2 General Ledger</w:t>
      </w:r>
    </w:p>
    <w:p>
      <w:pPr>
        <w:spacing w:after="140" w:line="276"/>
        <w:jc w:val="both"/>
      </w:pPr>
      <w:r>
        <w:rPr>
          <w:rFonts w:ascii="Calibri" w:cs="Calibri" w:eastAsia="Calibri" w:hAnsi="Calibri"/>
          <w:color w:val="1F2937"/>
          <w:sz w:val="21"/>
          <w:szCs w:val="21"/>
        </w:rPr>
        <w:t xml:space="preserve">Every account's activity for the period you choose, each as its own mini-ledger — Code/Title, a Beginning balance, a table of Date, Doc No., journal abbreviation, Party, Debit, Credit, and running Balance, an ending balance per account, and a grand total for the whole period at the bottom. Branch filter and From/To dates; Print / Export to Excel.</w:t>
      </w:r>
    </w:p>
    <w:p>
      <w:pPr>
        <w:pStyle w:val="Heading2"/>
        <w:spacing w:after="140" w:before="340"/>
      </w:pPr>
      <w:r>
        <w:rPr>
          <w:rFonts w:ascii="Calibri" w:cs="Calibri" w:eastAsia="Calibri" w:hAnsi="Calibri"/>
          <w:b/>
          <w:bCs/>
          <w:color w:val="0B2A5E"/>
          <w:sz w:val="26"/>
          <w:szCs w:val="26"/>
        </w:rPr>
        <w:t xml:space="preserve">6.3 Sales Subsidiary Journal and Purchase Subsidiary Journal</w:t>
      </w:r>
    </w:p>
    <w:p>
      <w:pPr>
        <w:spacing w:after="140" w:line="276"/>
        <w:jc w:val="both"/>
      </w:pPr>
      <w:r>
        <w:rPr>
          <w:rFonts w:ascii="Calibri" w:cs="Calibri" w:eastAsia="Calibri" w:hAnsi="Calibri"/>
          <w:color w:val="1F2937"/>
          <w:sz w:val="21"/>
          <w:szCs w:val="21"/>
        </w:rPr>
        <w:t xml:space="preserve">BIR-formatted subsidiary ledgers, laid out to match what your accountant expects on paper — buyer/supplier name and address, invoice numbers, VAT registration number, the sales or purchase breakdown by VAT category, VAT amount, and cash-vs-account terms, with totals. Branch filter and From/To dates; Print / Export to Excel.</w:t>
      </w: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7. Master Data</w:t>
      </w:r>
    </w:p>
    <w:p>
      <w:pPr>
        <w:spacing w:after="140" w:line="276"/>
        <w:jc w:val="both"/>
      </w:pPr>
      <w:r>
        <w:rPr>
          <w:rFonts w:ascii="Calibri" w:cs="Calibri" w:eastAsia="Calibri" w:hAnsi="Calibri"/>
          <w:color w:val="1F2937"/>
          <w:sz w:val="21"/>
          <w:szCs w:val="21"/>
        </w:rPr>
        <w:t xml:space="preserve">Master Data is where you maintain the people and things your transactions reference: Customers, Vendors, Employees, Contacts, and Items.</w:t>
      </w:r>
    </w:p>
    <w:p>
      <w:pPr>
        <w:pStyle w:val="Heading2"/>
        <w:spacing w:after="140" w:before="340"/>
      </w:pPr>
      <w:r>
        <w:rPr>
          <w:rFonts w:ascii="Calibri" w:cs="Calibri" w:eastAsia="Calibri" w:hAnsi="Calibri"/>
          <w:b/>
          <w:bCs/>
          <w:color w:val="0B2A5E"/>
          <w:sz w:val="26"/>
          <w:szCs w:val="26"/>
        </w:rPr>
        <w:t xml:space="preserve">7.1 Customers, Vendors, Employees, Contacts</w:t>
      </w:r>
    </w:p>
    <w:p>
      <w:pPr>
        <w:spacing w:after="140" w:line="276"/>
        <w:jc w:val="both"/>
      </w:pPr>
      <w:r>
        <w:rPr>
          <w:rFonts w:ascii="Calibri" w:cs="Calibri" w:eastAsia="Calibri" w:hAnsi="Calibri"/>
          <w:color w:val="1F2937"/>
          <w:sz w:val="21"/>
          <w:szCs w:val="21"/>
        </w:rPr>
        <w:t xml:space="preserve">These four screens all work the same way — a list on the left, an edit form on the right.</w:t>
      </w:r>
    </w:p>
    <w:p>
      <w:pPr>
        <w:pStyle w:val="ListParagraph"/>
        <w:numPr>
          <w:ilvl w:val="0"/>
          <w:numId w:val="2"/>
        </w:numPr>
        <w:spacing w:after="90" w:line="270"/>
        <w:jc w:val="both"/>
      </w:pPr>
      <w:r>
        <w:rPr>
          <w:rFonts w:ascii="Calibri" w:cs="Calibri" w:eastAsia="Calibri" w:hAnsi="Calibri"/>
          <w:b/>
          <w:bCs/>
          <w:color w:val="1F2937"/>
          <w:sz w:val="21"/>
          <w:szCs w:val="21"/>
        </w:rPr>
        <w:t xml:space="preserve">Code — </w:t>
      </w:r>
      <w:r>
        <w:rPr>
          <w:rFonts w:ascii="Calibri" w:cs="Calibri" w:eastAsia="Calibri" w:hAnsi="Calibri"/>
          <w:color w:val="1F2937"/>
          <w:sz w:val="21"/>
          <w:szCs w:val="21"/>
        </w:rPr>
        <w:t xml:space="preserve">assigned automatically from your company's numbering setup (you'll see a live preview like CUST-0001), or switch to "Enter manually" if you need a specific code.</w:t>
      </w:r>
    </w:p>
    <w:p>
      <w:pPr>
        <w:pStyle w:val="ListParagraph"/>
        <w:numPr>
          <w:ilvl w:val="0"/>
          <w:numId w:val="2"/>
        </w:numPr>
        <w:spacing w:after="90" w:line="270"/>
        <w:jc w:val="both"/>
      </w:pPr>
      <w:r>
        <w:rPr>
          <w:rFonts w:ascii="Calibri" w:cs="Calibri" w:eastAsia="Calibri" w:hAnsi="Calibri"/>
          <w:b/>
          <w:bCs/>
          <w:color w:val="1F2937"/>
          <w:sz w:val="21"/>
          <w:szCs w:val="21"/>
        </w:rPr>
        <w:t xml:space="preserve">Tax classification — </w:t>
      </w:r>
      <w:r>
        <w:rPr>
          <w:rFonts w:ascii="Calibri" w:cs="Calibri" w:eastAsia="Calibri" w:hAnsi="Calibri"/>
          <w:color w:val="1F2937"/>
          <w:sz w:val="21"/>
          <w:szCs w:val="21"/>
        </w:rPr>
        <w:t xml:space="preserve">Individual or Non-Individual — this decides whether you fill in a Registered Name, or separate Last/First/Middle name fields.</w:t>
      </w:r>
    </w:p>
    <w:p>
      <w:pPr>
        <w:pStyle w:val="ListParagraph"/>
        <w:numPr>
          <w:ilvl w:val="0"/>
          <w:numId w:val="2"/>
        </w:numPr>
        <w:spacing w:after="90" w:line="270"/>
        <w:jc w:val="both"/>
      </w:pPr>
      <w:r>
        <w:rPr>
          <w:rFonts w:ascii="Calibri" w:cs="Calibri" w:eastAsia="Calibri" w:hAnsi="Calibri"/>
          <w:b/>
          <w:bCs/>
          <w:color w:val="1F2937"/>
          <w:sz w:val="21"/>
          <w:szCs w:val="21"/>
        </w:rPr>
        <w:t xml:space="preserve">Trade Name — </w:t>
      </w:r>
      <w:r>
        <w:rPr>
          <w:rFonts w:ascii="Calibri" w:cs="Calibri" w:eastAsia="Calibri" w:hAnsi="Calibri"/>
          <w:color w:val="1F2937"/>
          <w:sz w:val="21"/>
          <w:szCs w:val="21"/>
        </w:rPr>
        <w:t xml:space="preserve">required — this is the name shown everywhere else in the app (transaction pickers, reports).</w:t>
      </w:r>
    </w:p>
    <w:p>
      <w:pPr>
        <w:pStyle w:val="ListParagraph"/>
        <w:numPr>
          <w:ilvl w:val="0"/>
          <w:numId w:val="2"/>
        </w:numPr>
        <w:spacing w:after="90" w:line="270"/>
        <w:jc w:val="both"/>
      </w:pPr>
      <w:r>
        <w:rPr>
          <w:rFonts w:ascii="Calibri" w:cs="Calibri" w:eastAsia="Calibri" w:hAnsi="Calibri"/>
          <w:b/>
          <w:bCs/>
          <w:color w:val="1F2937"/>
          <w:sz w:val="21"/>
          <w:szCs w:val="21"/>
        </w:rPr>
        <w:t xml:space="preserve">Registration type — </w:t>
      </w:r>
      <w:r>
        <w:rPr>
          <w:rFonts w:ascii="Calibri" w:cs="Calibri" w:eastAsia="Calibri" w:hAnsi="Calibri"/>
          <w:color w:val="1F2937"/>
          <w:sz w:val="21"/>
          <w:szCs w:val="21"/>
        </w:rPr>
        <w:t xml:space="preserve">VAT or Non-VAT — this decides which VAT types (12% / Zero-Rated / Exempt) you're offered when transacting with this party. Marking a party VAT-registered requires their TIN and full address to be filled in first.</w:t>
      </w:r>
    </w:p>
    <w:p>
      <w:pPr>
        <w:pStyle w:val="ListParagraph"/>
        <w:numPr>
          <w:ilvl w:val="0"/>
          <w:numId w:val="2"/>
        </w:numPr>
        <w:spacing w:after="90" w:line="270"/>
        <w:jc w:val="both"/>
      </w:pPr>
      <w:r>
        <w:rPr>
          <w:rFonts w:ascii="Calibri" w:cs="Calibri" w:eastAsia="Calibri" w:hAnsi="Calibri"/>
          <w:b/>
          <w:bCs/>
          <w:color w:val="1F2937"/>
          <w:sz w:val="21"/>
          <w:szCs w:val="21"/>
        </w:rPr>
        <w:t xml:space="preserve">Payment terms — </w:t>
      </w:r>
      <w:r>
        <w:rPr>
          <w:rFonts w:ascii="Calibri" w:cs="Calibri" w:eastAsia="Calibri" w:hAnsi="Calibri"/>
          <w:color w:val="1F2937"/>
          <w:sz w:val="21"/>
          <w:szCs w:val="21"/>
        </w:rPr>
        <w:t xml:space="preserve">for Customers and Vendors — e.g. "Net 30" or "COD". This auto-fills on new transactions and sets the due date.</w:t>
      </w:r>
    </w:p>
    <w:p>
      <w:pPr>
        <w:pStyle w:val="ListParagraph"/>
        <w:numPr>
          <w:ilvl w:val="0"/>
          <w:numId w:val="2"/>
        </w:numPr>
        <w:spacing w:after="90" w:line="270"/>
        <w:jc w:val="both"/>
      </w:pPr>
      <w:r>
        <w:rPr>
          <w:rFonts w:ascii="Calibri" w:cs="Calibri" w:eastAsia="Calibri" w:hAnsi="Calibri"/>
          <w:b/>
          <w:bCs/>
          <w:color w:val="1F2937"/>
          <w:sz w:val="21"/>
          <w:szCs w:val="21"/>
        </w:rPr>
        <w:t xml:space="preserve">TIN, address, contact details — </w:t>
      </w:r>
      <w:r>
        <w:rPr>
          <w:rFonts w:ascii="Calibri" w:cs="Calibri" w:eastAsia="Calibri" w:hAnsi="Calibri"/>
          <w:color w:val="1F2937"/>
          <w:sz w:val="21"/>
          <w:szCs w:val="21"/>
        </w:rPr>
        <w:t xml:space="preserve">TIN, Barangay/District/City/Province/ZIP, telephone, cell, email, fax, website.</w:t>
      </w:r>
    </w:p>
    <w:p>
      <w:pPr>
        <w:pStyle w:val="ListParagraph"/>
        <w:numPr>
          <w:ilvl w:val="0"/>
          <w:numId w:val="2"/>
        </w:numPr>
        <w:spacing w:after="90" w:line="270"/>
        <w:jc w:val="both"/>
      </w:pPr>
      <w:r>
        <w:rPr>
          <w:rFonts w:ascii="Calibri" w:cs="Calibri" w:eastAsia="Calibri" w:hAnsi="Calibri"/>
          <w:b/>
          <w:bCs/>
          <w:color w:val="1F2937"/>
          <w:sz w:val="21"/>
          <w:szCs w:val="21"/>
        </w:rPr>
        <w:t xml:space="preserve">Employees — </w:t>
      </w:r>
      <w:r>
        <w:rPr>
          <w:rFonts w:ascii="Calibri" w:cs="Calibri" w:eastAsia="Calibri" w:hAnsi="Calibri"/>
          <w:color w:val="1F2937"/>
          <w:sz w:val="21"/>
          <w:szCs w:val="21"/>
        </w:rPr>
        <w:t xml:space="preserve">use Last/First/Middle name and a Position field instead of the trade-name/registered-name split.</w:t>
      </w: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Everywhere you pick a customer, vendor, employee, or contact on a transaction, you can just start typing to filter the list by code or name — no need to scroll. Selected parties are shown by their Trade Name. If the party you need doesn't exist yet, most pickers offer a "+ New" option so you can add them without leaving the transaction.</w:t>
            </w:r>
          </w:p>
        </w:tc>
      </w:tr>
    </w:tbl>
    <w:p>
      <w:pPr>
        <w:pStyle w:val="Heading2"/>
        <w:spacing w:after="140" w:before="340"/>
      </w:pPr>
      <w:r>
        <w:rPr>
          <w:rFonts w:ascii="Calibri" w:cs="Calibri" w:eastAsia="Calibri" w:hAnsi="Calibri"/>
          <w:b/>
          <w:bCs/>
          <w:color w:val="0B2A5E"/>
          <w:sz w:val="26"/>
          <w:szCs w:val="26"/>
        </w:rPr>
        <w:t xml:space="preserve">7.2 Items</w:t>
      </w:r>
    </w:p>
    <w:p>
      <w:pPr>
        <w:pStyle w:val="Heading3"/>
        <w:spacing w:after="100" w:before="220"/>
      </w:pPr>
      <w:r>
        <w:rPr>
          <w:rFonts w:ascii="Calibri" w:cs="Calibri" w:eastAsia="Calibri" w:hAnsi="Calibri"/>
          <w:b/>
          <w:bCs/>
          <w:color w:val="1F2937"/>
          <w:sz w:val="22"/>
          <w:szCs w:val="22"/>
        </w:rPr>
        <w:t xml:space="preserve">Items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Master Data → Items</w:t>
      </w:r>
    </w:p>
    <w:p>
      <w:pPr>
        <w:spacing w:after="140" w:line="276"/>
        <w:jc w:val="both"/>
      </w:pPr>
      <w:r>
        <w:rPr>
          <w:rFonts w:ascii="Calibri" w:cs="Calibri" w:eastAsia="Calibri" w:hAnsi="Calibri"/>
          <w:color w:val="1F2937"/>
          <w:sz w:val="21"/>
          <w:szCs w:val="21"/>
        </w:rPr>
        <w:t xml:space="preserve">Inventory and service items you can reference for your own record-keeping — item code, description, type (Inventory / Non-inventory / Service), unit of measure, default cost, VAT treatment, and the inventory/COGS/expense/income accounts each type posts to.</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Use "Show inactive" to reveal deactivated items in the list.</w:t>
      </w:r>
    </w:p>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8. Setup</w:t>
      </w:r>
    </w:p>
    <w:p>
      <w:pPr>
        <w:pStyle w:val="Heading2"/>
        <w:spacing w:after="140" w:before="340"/>
      </w:pPr>
      <w:r>
        <w:rPr>
          <w:rFonts w:ascii="Calibri" w:cs="Calibri" w:eastAsia="Calibri" w:hAnsi="Calibri"/>
          <w:b/>
          <w:bCs/>
          <w:color w:val="0B2A5E"/>
          <w:sz w:val="26"/>
          <w:szCs w:val="26"/>
        </w:rPr>
        <w:t xml:space="preserve">8.1 Ask ARbi</w:t>
      </w:r>
    </w:p>
    <w:p>
      <w:pPr>
        <w:pStyle w:val="Heading3"/>
        <w:spacing w:after="100" w:before="220"/>
      </w:pPr>
      <w:r>
        <w:rPr>
          <w:rFonts w:ascii="Calibri" w:cs="Calibri" w:eastAsia="Calibri" w:hAnsi="Calibri"/>
          <w:b/>
          <w:bCs/>
          <w:color w:val="1F2937"/>
          <w:sz w:val="22"/>
          <w:szCs w:val="22"/>
        </w:rPr>
        <w:t xml:space="preserve">Ask ARbi</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Setup → Ask ARbi</w:t>
      </w:r>
    </w:p>
    <w:p>
      <w:pPr>
        <w:spacing w:after="140" w:line="276"/>
        <w:jc w:val="both"/>
      </w:pPr>
      <w:r>
        <w:rPr>
          <w:rFonts w:ascii="Calibri" w:cs="Calibri" w:eastAsia="Calibri" w:hAnsi="Calibri"/>
          <w:color w:val="1F2937"/>
          <w:sz w:val="21"/>
          <w:szCs w:val="21"/>
        </w:rPr>
        <w:t xml:space="preserve">Skip hunting through the menu — type what you want in plain English and ARbi finds the report, works out the period, and opens it for you.</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Try things like: "Generate a Cash Disbursement report for the current month", "Show me the Income Statement for this year", "VAT Return for Q2 2026", "Trial Balance as of today", "Purchase Journal for last month" — or click one of the suggested examples shown on the page.</w:t>
      </w:r>
    </w:p>
    <w:p>
      <w:pPr>
        <w:spacing w:after="60" w:before="100"/>
      </w:pPr>
      <w:r>
        <w:rPr>
          <w:rFonts w:ascii="Calibri" w:cs="Calibri" w:eastAsia="Calibri" w:hAnsi="Calibri"/>
          <w:b/>
          <w:bCs/>
          <w:sz w:val="21"/>
          <w:szCs w:val="21"/>
        </w:rPr>
        <w:t xml:space="preserve">What you can do:</w:t>
      </w:r>
    </w:p>
    <w:p>
      <w:pPr>
        <w:pStyle w:val="ListParagraph"/>
        <w:numPr>
          <w:ilvl w:val="0"/>
          <w:numId w:val="2"/>
        </w:numPr>
        <w:spacing w:after="90" w:line="270"/>
        <w:jc w:val="both"/>
      </w:pPr>
      <w:r>
        <w:rPr>
          <w:rFonts w:ascii="Calibri" w:cs="Calibri" w:eastAsia="Calibri" w:hAnsi="Calibri"/>
          <w:color w:val="1F2937"/>
          <w:sz w:val="21"/>
          <w:szCs w:val="21"/>
        </w:rPr>
        <w:t xml:space="preserve">When ARbi finds a match, it shows a quick preview right on the page (where available) plus an "Open full report ↗" link to the real report with your filters already applied, so you can print or export from there.</w:t>
      </w:r>
    </w:p>
    <w:p>
      <w:pPr>
        <w:spacing w:after="160"/>
      </w:pPr>
    </w:p>
    <w:p>
      <w:pPr>
        <w:pStyle w:val="Heading2"/>
        <w:spacing w:after="140" w:before="340"/>
      </w:pPr>
      <w:r>
        <w:rPr>
          <w:rFonts w:ascii="Calibri" w:cs="Calibri" w:eastAsia="Calibri" w:hAnsi="Calibri"/>
          <w:b/>
          <w:bCs/>
          <w:color w:val="0B2A5E"/>
          <w:sz w:val="26"/>
          <w:szCs w:val="26"/>
        </w:rPr>
        <w:t xml:space="preserve">8.2 Company details</w:t>
      </w:r>
    </w:p>
    <w:p>
      <w:pPr>
        <w:spacing w:after="140" w:line="276"/>
        <w:jc w:val="both"/>
      </w:pPr>
      <w:r>
        <w:rPr>
          <w:rFonts w:ascii="Calibri" w:cs="Calibri" w:eastAsia="Calibri" w:hAnsi="Calibri"/>
          <w:color w:val="1F2937"/>
          <w:sz w:val="21"/>
          <w:szCs w:val="21"/>
        </w:rPr>
        <w:t xml:space="preserve">Setup → Company details shows everything BIR needs to know about your company — Trade Name, TIN, taxpayer classification, business address, RDO code, period type, registration type, and so on.</w:t>
      </w: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This page is read-only for subscribers. These details are managed by your administrator — if anything here needs to change, contact them.</w:t>
            </w:r>
          </w:p>
        </w:tc>
      </w:tr>
    </w:tbl>
    <w:p>
      <w:pPr>
        <w:spacing w:after="140" w:line="276"/>
        <w:jc w:val="both"/>
      </w:pPr>
      <w:r>
        <w:rPr>
          <w:rFonts w:ascii="Calibri" w:cs="Calibri" w:eastAsia="Calibri" w:hAnsi="Calibri"/>
          <w:color w:val="1F2937"/>
          <w:sz w:val="21"/>
          <w:szCs w:val="21"/>
        </w:rPr>
        <w:t xml:space="preserve">The one thing you can configure on this page yourself is Number Series — the auto-numbering prefix, next number, and padding used for each document type (this is what powers the auto-suggested codes you see when adding a new Customer or Vendor, for example).</w:t>
      </w:r>
    </w:p>
    <w:p>
      <w:pPr>
        <w:pStyle w:val="Heading2"/>
        <w:spacing w:after="140" w:before="340"/>
      </w:pPr>
      <w:r>
        <w:rPr>
          <w:rFonts w:ascii="Calibri" w:cs="Calibri" w:eastAsia="Calibri" w:hAnsi="Calibri"/>
          <w:b/>
          <w:bCs/>
          <w:color w:val="0B2A5E"/>
          <w:sz w:val="26"/>
          <w:szCs w:val="26"/>
        </w:rPr>
        <w:t xml:space="preserve">8.3 Branches</w:t>
      </w:r>
    </w:p>
    <w:p>
      <w:pPr>
        <w:spacing w:after="140" w:line="276"/>
        <w:jc w:val="both"/>
      </w:pPr>
      <w:r>
        <w:rPr>
          <w:rFonts w:ascii="Calibri" w:cs="Calibri" w:eastAsia="Calibri" w:hAnsi="Calibri"/>
          <w:color w:val="1F2937"/>
          <w:sz w:val="21"/>
          <w:szCs w:val="21"/>
        </w:rPr>
        <w:t xml:space="preserve">Setup → Branches lists your company's branches and their BIR branch codes, which you'll pick from on every transaction.</w:t>
      </w: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This list is read-only for User accounts. Only a Manager can add, edit, or delete branches.</w:t>
            </w:r>
          </w:p>
        </w:tc>
      </w:tr>
    </w:tbl>
    <w:p>
      <w:pPr>
        <w:pStyle w:val="Heading2"/>
        <w:spacing w:after="140" w:before="340"/>
      </w:pPr>
      <w:r>
        <w:rPr>
          <w:rFonts w:ascii="Calibri" w:cs="Calibri" w:eastAsia="Calibri" w:hAnsi="Calibri"/>
          <w:b/>
          <w:bCs/>
          <w:color w:val="0B2A5E"/>
          <w:sz w:val="26"/>
          <w:szCs w:val="26"/>
        </w:rPr>
        <w:t xml:space="preserve">8.4 Tax posting setup</w:t>
      </w:r>
    </w:p>
    <w:p>
      <w:pPr>
        <w:pStyle w:val="Heading3"/>
        <w:spacing w:after="100" w:before="220"/>
      </w:pPr>
      <w:r>
        <w:rPr>
          <w:rFonts w:ascii="Calibri" w:cs="Calibri" w:eastAsia="Calibri" w:hAnsi="Calibri"/>
          <w:b/>
          <w:bCs/>
          <w:color w:val="1F2937"/>
          <w:sz w:val="22"/>
          <w:szCs w:val="22"/>
        </w:rPr>
        <w:t xml:space="preserve">Tax posting setup</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Setup → Tax posting setup</w:t>
      </w:r>
    </w:p>
    <w:p>
      <w:pPr>
        <w:spacing w:after="140" w:line="276"/>
        <w:jc w:val="both"/>
      </w:pPr>
      <w:r>
        <w:rPr>
          <w:rFonts w:ascii="Calibri" w:cs="Calibri" w:eastAsia="Calibri" w:hAnsi="Calibri"/>
          <w:color w:val="1F2937"/>
          <w:sz w:val="21"/>
          <w:szCs w:val="21"/>
        </w:rPr>
        <w:t xml:space="preserve">Tells ARbixo's automatic posting engine which General Ledger accounts to use for VAT and withholding tax, so that logic isn't hidden — if one of these isn't set yet, a transaction that needs it will show a clear error instead of silently posting somewhere wrong.</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b/>
          <w:bCs/>
          <w:color w:val="1F2937"/>
          <w:sz w:val="21"/>
          <w:szCs w:val="21"/>
        </w:rPr>
        <w:t xml:space="preserve">Input VAT account — </w:t>
      </w:r>
      <w:r>
        <w:rPr>
          <w:rFonts w:ascii="Calibri" w:cs="Calibri" w:eastAsia="Calibri" w:hAnsi="Calibri"/>
          <w:color w:val="1F2937"/>
          <w:sz w:val="21"/>
          <w:szCs w:val="21"/>
        </w:rPr>
        <w:t xml:space="preserve">usually an Other Current Asset — VAT you paid on purchases, creditable against Output VAT.</w:t>
      </w:r>
    </w:p>
    <w:p>
      <w:pPr>
        <w:pStyle w:val="ListParagraph"/>
        <w:numPr>
          <w:ilvl w:val="0"/>
          <w:numId w:val="2"/>
        </w:numPr>
        <w:spacing w:after="90" w:line="270"/>
        <w:jc w:val="both"/>
      </w:pPr>
      <w:r>
        <w:rPr>
          <w:rFonts w:ascii="Calibri" w:cs="Calibri" w:eastAsia="Calibri" w:hAnsi="Calibri"/>
          <w:b/>
          <w:bCs/>
          <w:color w:val="1F2937"/>
          <w:sz w:val="21"/>
          <w:szCs w:val="21"/>
        </w:rPr>
        <w:t xml:space="preserve">Output VAT account — </w:t>
      </w:r>
      <w:r>
        <w:rPr>
          <w:rFonts w:ascii="Calibri" w:cs="Calibri" w:eastAsia="Calibri" w:hAnsi="Calibri"/>
          <w:color w:val="1F2937"/>
          <w:sz w:val="21"/>
          <w:szCs w:val="21"/>
        </w:rPr>
        <w:t xml:space="preserve">usually an Other Current Liability — VAT you collected on sales, owed to BIR.</w:t>
      </w:r>
    </w:p>
    <w:p>
      <w:pPr>
        <w:pStyle w:val="ListParagraph"/>
        <w:numPr>
          <w:ilvl w:val="0"/>
          <w:numId w:val="2"/>
        </w:numPr>
        <w:spacing w:after="90" w:line="270"/>
        <w:jc w:val="both"/>
      </w:pPr>
      <w:r>
        <w:rPr>
          <w:rFonts w:ascii="Calibri" w:cs="Calibri" w:eastAsia="Calibri" w:hAnsi="Calibri"/>
          <w:b/>
          <w:bCs/>
          <w:color w:val="1F2937"/>
          <w:sz w:val="21"/>
          <w:szCs w:val="21"/>
        </w:rPr>
        <w:t xml:space="preserve">Withholding tax payable account — </w:t>
      </w:r>
      <w:r>
        <w:rPr>
          <w:rFonts w:ascii="Calibri" w:cs="Calibri" w:eastAsia="Calibri" w:hAnsi="Calibri"/>
          <w:color w:val="1F2937"/>
          <w:sz w:val="21"/>
          <w:szCs w:val="21"/>
        </w:rPr>
        <w:t xml:space="preserve">Other Current Liability — tax you withhold from vendors, to be remitted to BIR later.</w:t>
      </w:r>
    </w:p>
    <w:p>
      <w:pPr>
        <w:pStyle w:val="ListParagraph"/>
        <w:numPr>
          <w:ilvl w:val="0"/>
          <w:numId w:val="2"/>
        </w:numPr>
        <w:spacing w:after="90" w:line="270"/>
        <w:jc w:val="both"/>
      </w:pPr>
      <w:r>
        <w:rPr>
          <w:rFonts w:ascii="Calibri" w:cs="Calibri" w:eastAsia="Calibri" w:hAnsi="Calibri"/>
          <w:b/>
          <w:bCs/>
          <w:color w:val="1F2937"/>
          <w:sz w:val="21"/>
          <w:szCs w:val="21"/>
        </w:rPr>
        <w:t xml:space="preserve">Creditable withholding tax account — </w:t>
      </w:r>
      <w:r>
        <w:rPr>
          <w:rFonts w:ascii="Calibri" w:cs="Calibri" w:eastAsia="Calibri" w:hAnsi="Calibri"/>
          <w:color w:val="1F2937"/>
          <w:sz w:val="21"/>
          <w:szCs w:val="21"/>
        </w:rPr>
        <w:t xml:space="preserve">Other Current Asset — tax a customer withheld from paying you; offsets your income tax due. Not the same account as the liability above.</w:t>
      </w:r>
    </w:p>
    <w:p>
      <w:pPr>
        <w:spacing w:after="160"/>
      </w:pPr>
    </w:p>
    <w:p>
      <w:pPr>
        <w:pStyle w:val="Heading2"/>
        <w:spacing w:after="140" w:before="340"/>
      </w:pPr>
      <w:r>
        <w:rPr>
          <w:rFonts w:ascii="Calibri" w:cs="Calibri" w:eastAsia="Calibri" w:hAnsi="Calibri"/>
          <w:b/>
          <w:bCs/>
          <w:color w:val="0B2A5E"/>
          <w:sz w:val="26"/>
          <w:szCs w:val="26"/>
        </w:rPr>
        <w:t xml:space="preserve">8.5 Chart of accounts</w:t>
      </w:r>
    </w:p>
    <w:p>
      <w:pPr>
        <w:pStyle w:val="Heading3"/>
        <w:spacing w:after="100" w:before="220"/>
      </w:pPr>
      <w:r>
        <w:rPr>
          <w:rFonts w:ascii="Calibri" w:cs="Calibri" w:eastAsia="Calibri" w:hAnsi="Calibri"/>
          <w:b/>
          <w:bCs/>
          <w:color w:val="1F2937"/>
          <w:sz w:val="22"/>
          <w:szCs w:val="22"/>
        </w:rPr>
        <w:t xml:space="preserve">Chart of accounts</w:t>
      </w:r>
    </w:p>
    <w:p>
      <w:pPr>
        <w:spacing w:after="100"/>
      </w:pPr>
      <w:r>
        <w:rPr>
          <w:rFonts w:ascii="Calibri" w:cs="Calibri" w:eastAsia="Calibri" w:hAnsi="Calibri"/>
          <w:b/>
          <w:bCs/>
          <w:color w:val="4B5563"/>
          <w:sz w:val="19"/>
          <w:szCs w:val="19"/>
        </w:rPr>
        <w:t xml:space="preserve">Where to find it: </w:t>
      </w:r>
      <w:r>
        <w:rPr>
          <w:rFonts w:ascii="Calibri" w:cs="Calibri" w:eastAsia="Calibri" w:hAnsi="Calibri"/>
          <w:i/>
          <w:iCs/>
          <w:color w:val="4B5563"/>
          <w:sz w:val="19"/>
          <w:szCs w:val="19"/>
        </w:rPr>
        <w:t xml:space="preserve">Setup → Chart of accounts (or the "Accounts" link)</w:t>
      </w:r>
    </w:p>
    <w:p>
      <w:pPr>
        <w:spacing w:after="140" w:line="276"/>
        <w:jc w:val="both"/>
      </w:pPr>
      <w:r>
        <w:rPr>
          <w:rFonts w:ascii="Calibri" w:cs="Calibri" w:eastAsia="Calibri" w:hAnsi="Calibri"/>
          <w:color w:val="1F2937"/>
          <w:sz w:val="21"/>
          <w:szCs w:val="21"/>
        </w:rPr>
        <w:t xml:space="preserve">The full account structure your transactions post to, shown as a tree of Headings (structural subtotal groups you can't post to) containing Posting accounts (the ones you actually pick on a transaction).</w:t>
      </w:r>
    </w:p>
    <w:p>
      <w:pPr>
        <w:spacing w:after="60"/>
      </w:pPr>
      <w:r>
        <w:rPr>
          <w:rFonts w:ascii="Calibri" w:cs="Calibri" w:eastAsia="Calibri" w:hAnsi="Calibri"/>
          <w:b/>
          <w:bCs/>
          <w:sz w:val="21"/>
          <w:szCs w:val="21"/>
        </w:rPr>
        <w:t xml:space="preserve">What you'll see / enter:</w:t>
      </w:r>
    </w:p>
    <w:p>
      <w:pPr>
        <w:pStyle w:val="ListParagraph"/>
        <w:numPr>
          <w:ilvl w:val="0"/>
          <w:numId w:val="2"/>
        </w:numPr>
        <w:spacing w:after="90" w:line="270"/>
        <w:jc w:val="both"/>
      </w:pPr>
      <w:r>
        <w:rPr>
          <w:rFonts w:ascii="Calibri" w:cs="Calibri" w:eastAsia="Calibri" w:hAnsi="Calibri"/>
          <w:color w:val="1F2937"/>
          <w:sz w:val="21"/>
          <w:szCs w:val="21"/>
        </w:rPr>
        <w:t xml:space="preserve">"Load default headings" seeds the standard heading structure — it only adds what you don't already have, without touching anything existing.</w:t>
      </w:r>
    </w:p>
    <w:p>
      <w:pPr>
        <w:pStyle w:val="ListParagraph"/>
        <w:numPr>
          <w:ilvl w:val="0"/>
          <w:numId w:val="2"/>
        </w:numPr>
        <w:spacing w:after="90" w:line="270"/>
        <w:jc w:val="both"/>
      </w:pPr>
      <w:r>
        <w:rPr>
          <w:rFonts w:ascii="Calibri" w:cs="Calibri" w:eastAsia="Calibri" w:hAnsi="Calibri"/>
          <w:color w:val="1F2937"/>
          <w:sz w:val="21"/>
          <w:szCs w:val="21"/>
        </w:rPr>
        <w:t xml:space="preserve">"+ heading" adds a new top-level heading; each heading's "+ sub" adds a posting account nested under it.</w:t>
      </w:r>
    </w:p>
    <w:p>
      <w:pPr>
        <w:pStyle w:val="ListParagraph"/>
        <w:numPr>
          <w:ilvl w:val="0"/>
          <w:numId w:val="2"/>
        </w:numPr>
        <w:spacing w:after="90" w:line="270"/>
        <w:jc w:val="both"/>
      </w:pPr>
      <w:r>
        <w:rPr>
          <w:rFonts w:ascii="Calibri" w:cs="Calibri" w:eastAsia="Calibri" w:hAnsi="Calibri"/>
          <w:color w:val="1F2937"/>
          <w:sz w:val="21"/>
          <w:szCs w:val="21"/>
        </w:rPr>
        <w:t xml:space="preserve">Click any row to edit it in the side panel: Parent (heading), Type, Code, Title, Classification (drives the default normal balance), Normal balance, Opening balance (posting accounts only), and Active.</w:t>
      </w:r>
    </w:p>
    <w:p>
      <w:pPr>
        <w:spacing w:after="60"/>
      </w:pPr>
    </w:p>
    <w:tbl>
      <w:tblPr>
        <w:tblW w:type="pct" w:w="100%"/>
        <w:tblBorders>
          <w:top w:val="single" w:color="BFD4EC" w:sz="4"/>
          <w:left w:val="single" w:color="0B2A5E" w:sz="16"/>
          <w:bottom w:val="single" w:color="BFD4EC" w:sz="4"/>
          <w:right w:val="single" w:color="BFD4EC" w:sz="4"/>
          <w:insideH w:val="none" w:color="FFFFFF" w:sz="0"/>
          <w:insideV w:val="none" w:color="FFFFFF" w:sz="0"/>
        </w:tblBorders>
      </w:tblPr>
      <w:tblGrid>
        <w:gridCol w:w="100"/>
      </w:tblGrid>
      <w:tr>
        <w:tc>
          <w:tcPr>
            <w:shd w:fill="EEF4FB" w:val="clear"/>
            <w:tcMar>
              <w:top w:type="dxa" w:w="140"/>
              <w:left w:type="dxa" w:w="220"/>
              <w:bottom w:type="dxa" w:w="140"/>
              <w:right w:type="dxa" w:w="220"/>
            </w:tcMar>
          </w:tcPr>
          <w:p>
            <w:pPr>
              <w:spacing w:after="40"/>
            </w:pPr>
            <w:r>
              <w:rPr>
                <w:rFonts w:ascii="Calibri" w:cs="Calibri" w:eastAsia="Calibri" w:hAnsi="Calibri"/>
                <w:b/>
                <w:bCs/>
                <w:color w:val="0B2A5E"/>
                <w:sz w:val="17"/>
                <w:szCs w:val="17"/>
              </w:rPr>
              <w:t xml:space="preserve">NOTE</w:t>
            </w:r>
          </w:p>
          <w:p>
            <w:pPr>
              <w:spacing w:after="0" w:line="270"/>
              <w:jc w:val="both"/>
            </w:pPr>
            <w:r>
              <w:rPr>
                <w:rFonts w:ascii="Calibri" w:cs="Calibri" w:eastAsia="Calibri" w:hAnsi="Calibri"/>
                <w:color w:val="1F2937"/>
                <w:sz w:val="21"/>
                <w:szCs w:val="21"/>
              </w:rPr>
              <w:t xml:space="preserve">You can add and edit accounts here yourself — this isn't a view-only page like Company details.</w:t>
            </w:r>
          </w:p>
        </w:tc>
      </w:tr>
    </w:tbl>
    <w:p>
      <w:pPr>
        <w:spacing w:after="160"/>
      </w:pPr>
    </w:p>
    <w:p>
      <w:pPr>
        <w:pStyle w:val="Heading1"/>
        <w:pageBreakBefore/>
        <w:pBdr>
          <w:bottom w:val="single" w:color="0B2A5E" w:sz="8" w:space="6"/>
        </w:pBdr>
        <w:spacing w:after="220" w:before="0"/>
      </w:pPr>
      <w:r>
        <w:rPr>
          <w:rFonts w:ascii="Calibri" w:cs="Calibri" w:eastAsia="Calibri" w:hAnsi="Calibri"/>
          <w:b/>
          <w:bCs/>
          <w:color w:val="0B2A5E"/>
          <w:sz w:val="34"/>
          <w:szCs w:val="34"/>
        </w:rPr>
        <w:t xml:space="preserve">9. Quick Tips</w:t>
      </w:r>
    </w:p>
    <w:p>
      <w:pPr>
        <w:pStyle w:val="ListParagraph"/>
        <w:numPr>
          <w:ilvl w:val="0"/>
          <w:numId w:val="2"/>
        </w:numPr>
        <w:spacing w:after="90" w:line="270"/>
        <w:jc w:val="both"/>
      </w:pPr>
      <w:r>
        <w:rPr>
          <w:rFonts w:ascii="Calibri" w:cs="Calibri" w:eastAsia="Calibri" w:hAnsi="Calibri"/>
          <w:color w:val="1F2937"/>
          <w:sz w:val="21"/>
          <w:szCs w:val="21"/>
        </w:rPr>
        <w:t xml:space="preserve">Post transactions as they happen. ARbixo computes VAT, withholding, and running balances for you the moment something is posted — the further behind you get, the more you're reconciling by hand instead of letting the system do it.</w:t>
      </w:r>
    </w:p>
    <w:p>
      <w:pPr>
        <w:pStyle w:val="ListParagraph"/>
        <w:numPr>
          <w:ilvl w:val="0"/>
          <w:numId w:val="2"/>
        </w:numPr>
        <w:spacing w:after="90" w:line="270"/>
        <w:jc w:val="both"/>
      </w:pPr>
      <w:r>
        <w:rPr>
          <w:rFonts w:ascii="Calibri" w:cs="Calibri" w:eastAsia="Calibri" w:hAnsi="Calibri"/>
          <w:color w:val="1F2937"/>
          <w:sz w:val="21"/>
          <w:szCs w:val="21"/>
        </w:rPr>
        <w:t xml:space="preserve">Use "Apply to invoice(s)" / "Apply to bill(s)" every time a receipt or payment settles a specific invoice or bill. That's what keeps your Customer/Vendor balance reports and aging accurate — a payment that isn't applied still shows the original invoice as fully open.</w:t>
      </w:r>
    </w:p>
    <w:p>
      <w:pPr>
        <w:pStyle w:val="ListParagraph"/>
        <w:numPr>
          <w:ilvl w:val="0"/>
          <w:numId w:val="2"/>
        </w:numPr>
        <w:spacing w:after="90" w:line="270"/>
        <w:jc w:val="both"/>
      </w:pPr>
      <w:r>
        <w:rPr>
          <w:rFonts w:ascii="Calibri" w:cs="Calibri" w:eastAsia="Calibri" w:hAnsi="Calibri"/>
          <w:color w:val="1F2937"/>
          <w:sz w:val="21"/>
          <w:szCs w:val="21"/>
        </w:rPr>
        <w:t xml:space="preserve">If you post something wrong, cancel it and re-enter it correctly rather than trying to "fix" it by posting an offsetting entry yourself — Cancel keeps a clean, auditable trail with your stated reason attached.</w:t>
      </w:r>
    </w:p>
    <w:p>
      <w:pPr>
        <w:pStyle w:val="ListParagraph"/>
        <w:numPr>
          <w:ilvl w:val="0"/>
          <w:numId w:val="2"/>
        </w:numPr>
        <w:spacing w:after="90" w:line="270"/>
        <w:jc w:val="both"/>
      </w:pPr>
      <w:r>
        <w:rPr>
          <w:rFonts w:ascii="Calibri" w:cs="Calibri" w:eastAsia="Calibri" w:hAnsi="Calibri"/>
          <w:color w:val="1F2937"/>
          <w:sz w:val="21"/>
          <w:szCs w:val="21"/>
        </w:rPr>
        <w:t xml:space="preserve">Not sure where a report lives? Try Ask ARbi first (section 8.1) — describing what you want in plain English is often faster than hunting through the menu.</w:t>
      </w:r>
    </w:p>
    <w:p>
      <w:pPr>
        <w:pStyle w:val="ListParagraph"/>
        <w:numPr>
          <w:ilvl w:val="0"/>
          <w:numId w:val="2"/>
        </w:numPr>
        <w:spacing w:after="90" w:line="270"/>
        <w:jc w:val="both"/>
      </w:pPr>
      <w:r>
        <w:rPr>
          <w:rFonts w:ascii="Calibri" w:cs="Calibri" w:eastAsia="Calibri" w:hAnsi="Calibri"/>
          <w:color w:val="1F2937"/>
          <w:sz w:val="21"/>
          <w:szCs w:val="21"/>
        </w:rPr>
        <w:t xml:space="preserve">When in doubt about a BIR figure, treat ARbixo's BIR Reports as a strong head start and verify against the actual form before you file — they mirror the official layouts but ARbixo is not a substitute for the eFPS/eBIRForms filing itself.</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Calibri" w:cs="Calibri" w:eastAsia="Calibri" w:hAnsi="Calibri"/>
        <w:color w:val="9CA3AF"/>
        <w:sz w:val="16"/>
        <w:szCs w:val="16"/>
      </w:rPr>
      <w:t xml:space="preserve">ARbixo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91e361483568ef82704565c8898dfc609b4a6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2026-09-17T23:56:19.352Z</dcterms:created>
  <dcterms:modified xsi:type="dcterms:W3CDTF">2026-09-17T23:56:19.353Z</dcterms:modified>
</cp:coreProperties>
</file>

<file path=docProps/custom.xml><?xml version="1.0" encoding="utf-8"?>
<Properties xmlns="http://schemas.openxmlformats.org/officeDocument/2006/custom-properties" xmlns:vt="http://schemas.openxmlformats.org/officeDocument/2006/docPropsVTypes"/>
</file>