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400"/>
        <w:jc w:val="center"/>
      </w:pPr>
      <w:r>
        <w:rPr>
          <w:rFonts w:ascii="Calibri" w:cs="Calibri" w:eastAsia="Calibri" w:hAnsi="Calibri"/>
          <w:b/>
          <w:bCs/>
          <w:color w:val="0B2A5E"/>
          <w:sz w:val="26"/>
          <w:szCs w:val="26"/>
        </w:rPr>
        <w:t xml:space="preserve">ARbixo</w:t>
      </w:r>
    </w:p>
    <w:p>
      <w:pPr>
        <w:spacing w:after="700"/>
        <w:jc w:val="center"/>
      </w:pPr>
      <w:r>
        <w:rPr>
          <w:rFonts w:ascii="Calibri" w:cs="Calibri" w:eastAsia="Calibri" w:hAnsi="Calibri"/>
          <w:i/>
          <w:iCs/>
          <w:color w:val="4B5563"/>
          <w:sz w:val="19"/>
          <w:szCs w:val="19"/>
        </w:rPr>
        <w:t xml:space="preserve">Accounting Intelligence. Business Excellence.</w:t>
      </w:r>
    </w:p>
    <w:p>
      <w:pPr>
        <w:spacing w:after="100"/>
        <w:jc w:val="center"/>
      </w:pPr>
      <w:r>
        <w:rPr>
          <w:rFonts w:ascii="Calibri" w:cs="Calibri" w:eastAsia="Calibri" w:hAnsi="Calibri"/>
          <w:b/>
          <w:bCs/>
          <w:color w:val="0B2A5E"/>
          <w:sz w:val="44"/>
          <w:szCs w:val="44"/>
        </w:rPr>
        <w:t xml:space="preserve">Manager Manual</w:t>
      </w:r>
    </w:p>
    <w:p>
      <w:pPr>
        <w:pBdr>
          <w:bottom w:val="single" w:color="1E8E5A" w:sz="10" w:space="10"/>
        </w:pBdr>
        <w:spacing w:after="60"/>
        <w:jc w:val="center"/>
      </w:pPr>
      <w:r>
        <w:rPr>
          <w:rFonts w:ascii="Calibri" w:cs="Calibri" w:eastAsia="Calibri" w:hAnsi="Calibri"/>
          <w:b/>
          <w:bCs/>
          <w:color w:val="1E8E5A"/>
          <w:sz w:val="26"/>
          <w:szCs w:val="26"/>
        </w:rPr>
        <w:t xml:space="preserve">MANAGER ACCOUNT</w:t>
      </w:r>
    </w:p>
    <w:p>
      <w:pPr>
        <w:spacing w:after="1600" w:before="500"/>
        <w:jc w:val="center"/>
      </w:pPr>
      <w:r>
        <w:rPr>
          <w:rFonts w:ascii="Calibri" w:cs="Calibri" w:eastAsia="Calibri" w:hAnsi="Calibri"/>
          <w:color w:val="4B5563"/>
          <w:sz w:val="20"/>
          <w:szCs w:val="20"/>
        </w:rPr>
        <w:t xml:space="preserve">Everything a User can do, plus company oversight: branches, the audit trail, backups, and subscription renewals.</w:t>
      </w:r>
    </w:p>
    <w:p>
      <w:pPr>
        <w:spacing w:after="20"/>
        <w:jc w:val="center"/>
      </w:pPr>
      <w:r>
        <w:rPr>
          <w:rFonts w:ascii="Calibri" w:cs="Calibri" w:eastAsia="Calibri" w:hAnsi="Calibri"/>
          <w:b/>
          <w:bCs/>
          <w:color w:val="374151"/>
          <w:sz w:val="18"/>
          <w:szCs w:val="18"/>
        </w:rPr>
        <w:t xml:space="preserve">Systemaide Solutions Inc.</w:t>
      </w:r>
    </w:p>
    <w:p>
      <w:pPr>
        <w:jc w:val="center"/>
      </w:pPr>
      <w:r>
        <w:rPr>
          <w:rFonts w:ascii="Calibri" w:cs="Calibri" w:eastAsia="Calibri" w:hAnsi="Calibri"/>
          <w:color w:val="9CA3AF"/>
          <w:sz w:val="17"/>
          <w:szCs w:val="17"/>
        </w:rPr>
        <w:t xml:space="preserve">www.arbixo.net</w:t>
      </w:r>
    </w:p>
    <w:p>
      <w:r>
        <w:br w:type="page"/>
      </w: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1. Getting Started</w:t>
      </w:r>
    </w:p>
    <w:p>
      <w:pPr>
        <w:spacing w:after="140" w:line="276"/>
        <w:jc w:val="both"/>
      </w:pPr>
      <w:r>
        <w:rPr>
          <w:rFonts w:ascii="Calibri" w:cs="Calibri" w:eastAsia="Calibri" w:hAnsi="Calibri"/>
          <w:color w:val="1F2937"/>
          <w:sz w:val="21"/>
          <w:szCs w:val="21"/>
        </w:rPr>
        <w:t xml:space="preserve">ARbixo is a cloud accounting platform built for Philippine businesses. Everything you do lives inside your company's account and is available the moment you sign in, from any device with a browser and an internet connection — there is nothing to install.</w:t>
      </w:r>
    </w:p>
    <w:p>
      <w:pPr>
        <w:pStyle w:val="Heading2"/>
        <w:spacing w:after="140" w:before="340"/>
      </w:pPr>
      <w:r>
        <w:rPr>
          <w:rFonts w:ascii="Calibri" w:cs="Calibri" w:eastAsia="Calibri" w:hAnsi="Calibri"/>
          <w:b/>
          <w:bCs/>
          <w:color w:val="0B2A5E"/>
          <w:sz w:val="26"/>
          <w:szCs w:val="26"/>
        </w:rPr>
        <w:t xml:space="preserve">1.1 Signing in</w:t>
      </w:r>
    </w:p>
    <w:p>
      <w:pPr>
        <w:pStyle w:val="ListParagraph"/>
        <w:numPr>
          <w:ilvl w:val="0"/>
          <w:numId w:val="2"/>
        </w:numPr>
        <w:spacing w:after="90" w:line="270"/>
        <w:jc w:val="both"/>
      </w:pPr>
      <w:r>
        <w:rPr>
          <w:rFonts w:ascii="Calibri" w:cs="Calibri" w:eastAsia="Calibri" w:hAnsi="Calibri"/>
          <w:color w:val="1F2937"/>
          <w:sz w:val="21"/>
          <w:szCs w:val="21"/>
        </w:rPr>
        <w:t xml:space="preserve">Go to www.arbixo.net and click Log in, or go directly to www.arbixo.net/login.</w:t>
      </w:r>
    </w:p>
    <w:p>
      <w:pPr>
        <w:pStyle w:val="ListParagraph"/>
        <w:numPr>
          <w:ilvl w:val="0"/>
          <w:numId w:val="2"/>
        </w:numPr>
        <w:spacing w:after="90" w:line="270"/>
        <w:jc w:val="both"/>
      </w:pPr>
      <w:r>
        <w:rPr>
          <w:rFonts w:ascii="Calibri" w:cs="Calibri" w:eastAsia="Calibri" w:hAnsi="Calibri"/>
          <w:color w:val="1F2937"/>
          <w:sz w:val="21"/>
          <w:szCs w:val="21"/>
        </w:rPr>
        <w:t xml:space="preserve">Enter the email and password given to you by your company's administrator or Manager.</w:t>
      </w:r>
    </w:p>
    <w:p>
      <w:pPr>
        <w:pStyle w:val="ListParagraph"/>
        <w:numPr>
          <w:ilvl w:val="0"/>
          <w:numId w:val="2"/>
        </w:numPr>
        <w:spacing w:after="90" w:line="270"/>
        <w:jc w:val="both"/>
      </w:pPr>
      <w:r>
        <w:rPr>
          <w:rFonts w:ascii="Calibri" w:cs="Calibri" w:eastAsia="Calibri" w:hAnsi="Calibri"/>
          <w:color w:val="1F2937"/>
          <w:sz w:val="21"/>
          <w:szCs w:val="21"/>
        </w:rPr>
        <w:t xml:space="preserve">If you forget your password, use the "Forgot password?" link on the login page to receive a reset link by email.</w:t>
      </w:r>
    </w:p>
    <w:p>
      <w:pPr>
        <w:pStyle w:val="ListParagraph"/>
        <w:numPr>
          <w:ilvl w:val="0"/>
          <w:numId w:val="2"/>
        </w:numPr>
        <w:spacing w:after="90" w:line="270"/>
        <w:jc w:val="both"/>
      </w:pPr>
      <w:r>
        <w:rPr>
          <w:rFonts w:ascii="Calibri" w:cs="Calibri" w:eastAsia="Calibri" w:hAnsi="Calibri"/>
          <w:color w:val="1F2937"/>
          <w:sz w:val="21"/>
          <w:szCs w:val="21"/>
        </w:rPr>
        <w:t xml:space="preserve">If your company doesn't have an active subscription, or it has expired, you can still sign in and view your data, but you won't be able to post new transactions until an administrator renews it — a banner at the top of the dashboard will tell you if this applies.</w:t>
      </w:r>
    </w:p>
    <w:p>
      <w:pPr>
        <w:pStyle w:val="Heading2"/>
        <w:spacing w:after="140" w:before="340"/>
      </w:pPr>
      <w:r>
        <w:rPr>
          <w:rFonts w:ascii="Calibri" w:cs="Calibri" w:eastAsia="Calibri" w:hAnsi="Calibri"/>
          <w:b/>
          <w:bCs/>
          <w:color w:val="0B2A5E"/>
          <w:sz w:val="26"/>
          <w:szCs w:val="26"/>
        </w:rPr>
        <w:t xml:space="preserve">1.2 Your role in ARbixo</w:t>
      </w:r>
    </w:p>
    <w:p>
      <w:pPr>
        <w:spacing w:after="140" w:line="276"/>
        <w:jc w:val="both"/>
      </w:pPr>
      <w:r>
        <w:rPr>
          <w:rFonts w:ascii="Calibri" w:cs="Calibri" w:eastAsia="Calibri" w:hAnsi="Calibri"/>
          <w:color w:val="1F2937"/>
          <w:sz w:val="21"/>
          <w:szCs w:val="21"/>
        </w:rPr>
        <w:t xml:space="preserve">You are signed in as a </w:t>
      </w:r>
      <w:r>
        <w:rPr>
          <w:rFonts w:ascii="Calibri" w:cs="Calibri" w:eastAsia="Calibri" w:hAnsi="Calibri"/>
          <w:b/>
          <w:bCs/>
          <w:color w:val="1F2937"/>
          <w:sz w:val="21"/>
          <w:szCs w:val="21"/>
        </w:rPr>
        <w:t xml:space="preserve">Manager</w:t>
      </w:r>
      <w:r>
        <w:rPr>
          <w:rFonts w:ascii="Calibri" w:cs="Calibri" w:eastAsia="Calibri" w:hAnsi="Calibri"/>
          <w:color w:val="1F2937"/>
          <w:sz w:val="21"/>
          <w:szCs w:val="21"/>
        </w:rPr>
        <w:t xml:space="preserve">. Every ARbixo account is either an administrator (Systemaide Solutions staff who run the platform itself) or a subscriber belonging to one company. Subscriber accounts come in three levels:</w:t>
      </w:r>
    </w:p>
    <w:p>
      <w:pPr>
        <w:pStyle w:val="ListParagraph"/>
        <w:numPr>
          <w:ilvl w:val="0"/>
          <w:numId w:val="2"/>
        </w:numPr>
        <w:spacing w:after="90" w:line="270"/>
        <w:jc w:val="both"/>
      </w:pPr>
      <w:r>
        <w:rPr>
          <w:rFonts w:ascii="Calibri" w:cs="Calibri" w:eastAsia="Calibri" w:hAnsi="Calibri"/>
          <w:b/>
          <w:bCs/>
          <w:color w:val="1F2937"/>
          <w:sz w:val="21"/>
          <w:szCs w:val="21"/>
        </w:rPr>
        <w:t xml:space="preserve">User — </w:t>
      </w:r>
      <w:r>
        <w:rPr>
          <w:rFonts w:ascii="Calibri" w:cs="Calibri" w:eastAsia="Calibri" w:hAnsi="Calibri"/>
          <w:color w:val="1F2937"/>
          <w:sz w:val="21"/>
          <w:szCs w:val="21"/>
        </w:rPr>
        <w:t xml:space="preserve">encode, post, and cancel your own transactions, and generate every report. This is the standard account level for day-to-day bookkeeping.</w:t>
      </w:r>
    </w:p>
    <w:p>
      <w:pPr>
        <w:pStyle w:val="ListParagraph"/>
        <w:numPr>
          <w:ilvl w:val="0"/>
          <w:numId w:val="2"/>
        </w:numPr>
        <w:spacing w:after="90" w:line="270"/>
        <w:jc w:val="both"/>
      </w:pPr>
      <w:r>
        <w:rPr>
          <w:rFonts w:ascii="Calibri" w:cs="Calibri" w:eastAsia="Calibri" w:hAnsi="Calibri"/>
          <w:b/>
          <w:bCs/>
          <w:color w:val="1F2937"/>
          <w:sz w:val="21"/>
          <w:szCs w:val="21"/>
        </w:rPr>
        <w:t xml:space="preserve">Manager — </w:t>
      </w:r>
      <w:r>
        <w:rPr>
          <w:rFonts w:ascii="Calibri" w:cs="Calibri" w:eastAsia="Calibri" w:hAnsi="Calibri"/>
          <w:color w:val="1F2937"/>
          <w:sz w:val="21"/>
          <w:szCs w:val="21"/>
        </w:rPr>
        <w:t xml:space="preserve">everything a User can do, plus company-wide administration: managing branches, viewing the full audit trail, backing up company data, and handling subscription renewal payments. This manual is written for the Manager level.</w:t>
      </w:r>
    </w:p>
    <w:p>
      <w:pPr>
        <w:pStyle w:val="ListParagraph"/>
        <w:numPr>
          <w:ilvl w:val="0"/>
          <w:numId w:val="2"/>
        </w:numPr>
        <w:spacing w:after="90" w:line="270"/>
        <w:jc w:val="both"/>
      </w:pPr>
      <w:r>
        <w:rPr>
          <w:rFonts w:ascii="Calibri" w:cs="Calibri" w:eastAsia="Calibri" w:hAnsi="Calibri"/>
          <w:b/>
          <w:bCs/>
          <w:color w:val="1F2937"/>
          <w:sz w:val="21"/>
          <w:szCs w:val="21"/>
        </w:rPr>
        <w:t xml:space="preserve">Report Creator — </w:t>
      </w:r>
      <w:r>
        <w:rPr>
          <w:rFonts w:ascii="Calibri" w:cs="Calibri" w:eastAsia="Calibri" w:hAnsi="Calibri"/>
          <w:color w:val="1F2937"/>
          <w:sz w:val="21"/>
          <w:szCs w:val="21"/>
        </w:rPr>
        <w:t xml:space="preserve">a read-only level that can view transactions and generate reports, but cannot post anything. If you were expecting to post transactions and can't, check with your Manager whether your account is set to this level.</w:t>
      </w:r>
    </w:p>
    <w:p>
      <w:pPr>
        <w:spacing w:after="40"/>
      </w:pP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ABOUT THIS MANUAL</w:t>
            </w:r>
          </w:p>
          <w:p>
            <w:pPr>
              <w:spacing w:after="0" w:line="270"/>
              <w:jc w:val="both"/>
            </w:pPr>
            <w:r>
              <w:rPr>
                <w:rFonts w:ascii="Calibri" w:cs="Calibri" w:eastAsia="Calibri" w:hAnsi="Calibri"/>
                <w:color w:val="1F2937"/>
                <w:sz w:val="21"/>
                <w:szCs w:val="21"/>
              </w:rPr>
              <w:t xml:space="preserve">Everything in this manual applies to Managers. Sections and steps that only a Manager can do — not a plain User — are called out explicitly with a "Manager only" note, so you know what your team members will and won't see on their own accounts.</w:t>
            </w:r>
          </w:p>
        </w:tc>
      </w:tr>
    </w:tbl>
    <w:p>
      <w:pPr>
        <w:pStyle w:val="Heading2"/>
        <w:spacing w:after="140" w:before="340"/>
      </w:pPr>
      <w:r>
        <w:rPr>
          <w:rFonts w:ascii="Calibri" w:cs="Calibri" w:eastAsia="Calibri" w:hAnsi="Calibri"/>
          <w:b/>
          <w:bCs/>
          <w:color w:val="0B2A5E"/>
          <w:sz w:val="26"/>
          <w:szCs w:val="26"/>
        </w:rPr>
        <w:t xml:space="preserve">1.3 The dashboard</w:t>
      </w:r>
    </w:p>
    <w:p>
      <w:pPr>
        <w:spacing w:after="140" w:line="276"/>
        <w:jc w:val="both"/>
      </w:pPr>
      <w:r>
        <w:rPr>
          <w:rFonts w:ascii="Calibri" w:cs="Calibri" w:eastAsia="Calibri" w:hAnsi="Calibri"/>
          <w:color w:val="1F2937"/>
          <w:sz w:val="21"/>
          <w:szCs w:val="21"/>
        </w:rPr>
        <w:t xml:space="preserve">After signing in you land on your Dashboard (also reachable any time from the top-left ARbixo logo). It gives you an at-a-glance view of the business and quick access to the things you do most:</w:t>
      </w:r>
    </w:p>
    <w:p>
      <w:pPr>
        <w:pStyle w:val="ListParagraph"/>
        <w:numPr>
          <w:ilvl w:val="0"/>
          <w:numId w:val="2"/>
        </w:numPr>
        <w:spacing w:after="90" w:line="270"/>
        <w:jc w:val="both"/>
      </w:pPr>
      <w:r>
        <w:rPr>
          <w:rFonts w:ascii="Calibri" w:cs="Calibri" w:eastAsia="Calibri" w:hAnsi="Calibri"/>
          <w:b/>
          <w:bCs/>
          <w:color w:val="1F2937"/>
          <w:sz w:val="21"/>
          <w:szCs w:val="21"/>
        </w:rPr>
        <w:t xml:space="preserve">Financial snapshot — </w:t>
      </w:r>
      <w:r>
        <w:rPr>
          <w:rFonts w:ascii="Calibri" w:cs="Calibri" w:eastAsia="Calibri" w:hAnsi="Calibri"/>
          <w:color w:val="1F2937"/>
          <w:sz w:val="21"/>
          <w:szCs w:val="21"/>
        </w:rPr>
        <w:t xml:space="preserve">a greeting and a set of summary tiles for the current month — figures like cash position, receivables, and income at a glance.</w:t>
      </w:r>
    </w:p>
    <w:p>
      <w:pPr>
        <w:pStyle w:val="ListParagraph"/>
        <w:numPr>
          <w:ilvl w:val="0"/>
          <w:numId w:val="2"/>
        </w:numPr>
        <w:spacing w:after="90" w:line="270"/>
        <w:jc w:val="both"/>
      </w:pPr>
      <w:r>
        <w:rPr>
          <w:rFonts w:ascii="Calibri" w:cs="Calibri" w:eastAsia="Calibri" w:hAnsi="Calibri"/>
          <w:b/>
          <w:bCs/>
          <w:color w:val="1F2937"/>
          <w:sz w:val="21"/>
          <w:szCs w:val="21"/>
        </w:rPr>
        <w:t xml:space="preserve">Quick Actions — </w:t>
      </w:r>
      <w:r>
        <w:rPr>
          <w:rFonts w:ascii="Calibri" w:cs="Calibri" w:eastAsia="Calibri" w:hAnsi="Calibri"/>
          <w:color w:val="1F2937"/>
          <w:sz w:val="21"/>
          <w:szCs w:val="21"/>
        </w:rPr>
        <w:t xml:space="preserve">one-click shortcuts to New Sale, New Purchase, Cash Receipt, Cash Disbursement, Journal Entry, and Reports — the six things you'll reach for most often.</w:t>
      </w:r>
    </w:p>
    <w:p>
      <w:pPr>
        <w:pStyle w:val="ListParagraph"/>
        <w:numPr>
          <w:ilvl w:val="0"/>
          <w:numId w:val="2"/>
        </w:numPr>
        <w:spacing w:after="90" w:line="270"/>
        <w:jc w:val="both"/>
      </w:pPr>
      <w:r>
        <w:rPr>
          <w:rFonts w:ascii="Calibri" w:cs="Calibri" w:eastAsia="Calibri" w:hAnsi="Calibri"/>
          <w:b/>
          <w:bCs/>
          <w:color w:val="1F2937"/>
          <w:sz w:val="21"/>
          <w:szCs w:val="21"/>
        </w:rPr>
        <w:t xml:space="preserve">Related Links — </w:t>
      </w:r>
      <w:r>
        <w:rPr>
          <w:rFonts w:ascii="Calibri" w:cs="Calibri" w:eastAsia="Calibri" w:hAnsi="Calibri"/>
          <w:color w:val="1F2937"/>
          <w:sz w:val="21"/>
          <w:szCs w:val="21"/>
        </w:rPr>
        <w:t xml:space="preserve">shortcuts your administrator has set up for you — typically BIR, tax calculators, and similar external tools.</w:t>
      </w:r>
    </w:p>
    <w:p>
      <w:pPr>
        <w:pStyle w:val="ListParagraph"/>
        <w:numPr>
          <w:ilvl w:val="0"/>
          <w:numId w:val="2"/>
        </w:numPr>
        <w:spacing w:after="90" w:line="270"/>
        <w:jc w:val="both"/>
      </w:pPr>
      <w:r>
        <w:rPr>
          <w:rFonts w:ascii="Calibri" w:cs="Calibri" w:eastAsia="Calibri" w:hAnsi="Calibri"/>
          <w:b/>
          <w:bCs/>
          <w:color w:val="1F2937"/>
          <w:sz w:val="21"/>
          <w:szCs w:val="21"/>
        </w:rPr>
        <w:t xml:space="preserve">BIR Tax Reminders — </w:t>
      </w:r>
      <w:r>
        <w:rPr>
          <w:rFonts w:ascii="Calibri" w:cs="Calibri" w:eastAsia="Calibri" w:hAnsi="Calibri"/>
          <w:color w:val="1F2937"/>
          <w:sz w:val="21"/>
          <w:szCs w:val="21"/>
        </w:rPr>
        <w:t xml:space="preserve">a live feed of the current month's BIR filing deadlines, so nothing sneaks up on you.</w:t>
      </w: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NOTE</w:t>
            </w:r>
          </w:p>
          <w:p>
            <w:pPr>
              <w:spacing w:after="0" w:line="270"/>
              <w:jc w:val="both"/>
            </w:pPr>
            <w:r>
              <w:rPr>
                <w:rFonts w:ascii="Calibri" w:cs="Calibri" w:eastAsia="Calibri" w:hAnsi="Calibri"/>
                <w:color w:val="1F2937"/>
                <w:sz w:val="21"/>
                <w:szCs w:val="21"/>
              </w:rPr>
              <w:t xml:space="preserve">If your company's subscription is expiring or has expired, or has none set up yet, a banner appears above the snapshot explaining what that means for you. You can still view everything; posting new transactions is what gets locked.</w:t>
            </w:r>
          </w:p>
        </w:tc>
      </w:tr>
    </w:tbl>
    <w:p>
      <w:pPr>
        <w:pStyle w:val="Heading2"/>
        <w:spacing w:after="140" w:before="340"/>
      </w:pPr>
      <w:r>
        <w:rPr>
          <w:rFonts w:ascii="Calibri" w:cs="Calibri" w:eastAsia="Calibri" w:hAnsi="Calibri"/>
          <w:b/>
          <w:bCs/>
          <w:color w:val="0B2A5E"/>
          <w:sz w:val="26"/>
          <w:szCs w:val="26"/>
        </w:rPr>
        <w:t xml:space="preserve">1.4 Getting help — ARbi</w:t>
      </w:r>
    </w:p>
    <w:p>
      <w:pPr>
        <w:spacing w:after="140" w:line="276"/>
        <w:jc w:val="both"/>
      </w:pPr>
      <w:r>
        <w:rPr>
          <w:rFonts w:ascii="Calibri" w:cs="Calibri" w:eastAsia="Calibri" w:hAnsi="Calibri"/>
          <w:color w:val="1F2937"/>
          <w:sz w:val="21"/>
          <w:szCs w:val="21"/>
        </w:rPr>
        <w:t xml:space="preserve">A small circular avatar floats in the bottom-right corner of every screen. Click it any time for quick help: a link straight into Ask ARbi (section 6.1), a link to the FAQ on the public ARbixo site, and a Contact support email you can write to directly.</w:t>
      </w: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2. Recording Transactions</w:t>
      </w:r>
    </w:p>
    <w:p>
      <w:pPr>
        <w:spacing w:after="140" w:line="276"/>
        <w:jc w:val="both"/>
      </w:pPr>
      <w:r>
        <w:rPr>
          <w:rFonts w:ascii="Calibri" w:cs="Calibri" w:eastAsia="Calibri" w:hAnsi="Calibri"/>
          <w:color w:val="1F2937"/>
          <w:sz w:val="21"/>
          <w:szCs w:val="21"/>
        </w:rPr>
        <w:t xml:space="preserve">Everything your books need starts here. The Transactions menu covers six kinds of entries; each has its own screen tailored to what it needs, but they share the same building blocks: a header (date, document number, branch, the party involved), one or more lines (account, VAT type, amount), and a Save action that posts the entry to your ledgers immediately.</w:t>
      </w:r>
    </w:p>
    <w:p>
      <w:pPr>
        <w:pStyle w:val="Heading2"/>
        <w:spacing w:after="140" w:before="340"/>
      </w:pPr>
      <w:r>
        <w:rPr>
          <w:rFonts w:ascii="Calibri" w:cs="Calibri" w:eastAsia="Calibri" w:hAnsi="Calibri"/>
          <w:b/>
          <w:bCs/>
          <w:color w:val="0B2A5E"/>
          <w:sz w:val="26"/>
          <w:szCs w:val="26"/>
        </w:rPr>
        <w:t xml:space="preserve">2.1 Overview of the six transaction types</w:t>
      </w:r>
    </w:p>
    <w:tbl>
      <w:tblPr>
        <w:tblW w:type="dxa" w:w="9800"/>
        <w:tblBorders>
          <w:top w:val="single" w:color="D1D5DB" w:sz="4"/>
          <w:left w:val="single" w:color="D1D5DB" w:sz="4"/>
          <w:bottom w:val="single" w:color="D1D5DB" w:sz="4"/>
          <w:right w:val="single" w:color="D1D5DB" w:sz="4"/>
          <w:insideH w:val="single" w:color="D1D5DB" w:sz="2"/>
          <w:insideV w:val="single" w:color="D1D5DB" w:sz="2"/>
        </w:tblBorders>
      </w:tblPr>
      <w:tblGrid>
        <w:gridCol w:w="2200"/>
        <w:gridCol w:w="4300"/>
        <w:gridCol w:w="2200"/>
        <w:gridCol w:w="1100"/>
      </w:tblGrid>
      <w:tr>
        <w:trPr>
          <w:tblHeader/>
        </w:trPr>
        <w:tc>
          <w:tcPr>
            <w:tcW w:type="dxa" w:w="2200"/>
            <w:shd w:fill="0B2A5E"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Type</w:t>
            </w:r>
          </w:p>
        </w:tc>
        <w:tc>
          <w:tcPr>
            <w:tcW w:type="dxa" w:w="4300"/>
            <w:shd w:fill="0B2A5E"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Use it for</w:t>
            </w:r>
          </w:p>
        </w:tc>
        <w:tc>
          <w:tcPr>
            <w:tcW w:type="dxa" w:w="2200"/>
            <w:shd w:fill="0B2A5E"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Party</w:t>
            </w:r>
          </w:p>
        </w:tc>
        <w:tc>
          <w:tcPr>
            <w:tcW w:type="dxa" w:w="1100"/>
            <w:shd w:fill="0B2A5E"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Cash involved?</w:t>
            </w:r>
          </w:p>
        </w:tc>
      </w:tr>
      <w:tr>
        <w:tc>
          <w:tcPr>
            <w:tcW w:type="dxa" w:w="22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Cash Receipts</w:t>
            </w:r>
          </w:p>
        </w:tc>
        <w:tc>
          <w:tcPr>
            <w:tcW w:type="dxa" w:w="43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Money coming in — cash sales, collections on customer invoices, other income</w:t>
            </w:r>
          </w:p>
        </w:tc>
        <w:tc>
          <w:tcPr>
            <w:tcW w:type="dxa" w:w="22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Customer / any party</w:t>
            </w:r>
          </w:p>
        </w:tc>
        <w:tc>
          <w:tcPr>
            <w:tcW w:type="dxa" w:w="11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Yes</w:t>
            </w:r>
          </w:p>
        </w:tc>
      </w:tr>
      <w:tr>
        <w:tc>
          <w:tcPr>
            <w:tcW w:type="dxa" w:w="22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Sales on Account</w:t>
            </w:r>
          </w:p>
        </w:tc>
        <w:tc>
          <w:tcPr>
            <w:tcW w:type="dxa" w:w="43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Invoices billed to a customer, paid later</w:t>
            </w:r>
          </w:p>
        </w:tc>
        <w:tc>
          <w:tcPr>
            <w:tcW w:type="dxa" w:w="22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Customer</w:t>
            </w:r>
          </w:p>
        </w:tc>
        <w:tc>
          <w:tcPr>
            <w:tcW w:type="dxa" w:w="11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No</w:t>
            </w:r>
          </w:p>
        </w:tc>
      </w:tr>
      <w:tr>
        <w:tc>
          <w:tcPr>
            <w:tcW w:type="dxa" w:w="22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Cash Disbursement</w:t>
            </w:r>
          </w:p>
        </w:tc>
        <w:tc>
          <w:tcPr>
            <w:tcW w:type="dxa" w:w="43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Money going out — paying bills, expenses, payroll</w:t>
            </w:r>
          </w:p>
        </w:tc>
        <w:tc>
          <w:tcPr>
            <w:tcW w:type="dxa" w:w="22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Vendor / any party</w:t>
            </w:r>
          </w:p>
        </w:tc>
        <w:tc>
          <w:tcPr>
            <w:tcW w:type="dxa" w:w="11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Yes</w:t>
            </w:r>
          </w:p>
        </w:tc>
      </w:tr>
      <w:tr>
        <w:tc>
          <w:tcPr>
            <w:tcW w:type="dxa" w:w="22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Purchase on Account</w:t>
            </w:r>
          </w:p>
        </w:tc>
        <w:tc>
          <w:tcPr>
            <w:tcW w:type="dxa" w:w="43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Bills from a supplier, to be paid later</w:t>
            </w:r>
          </w:p>
        </w:tc>
        <w:tc>
          <w:tcPr>
            <w:tcW w:type="dxa" w:w="22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Vendor</w:t>
            </w:r>
          </w:p>
        </w:tc>
        <w:tc>
          <w:tcPr>
            <w:tcW w:type="dxa" w:w="11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No</w:t>
            </w:r>
          </w:p>
        </w:tc>
      </w:tr>
      <w:tr>
        <w:tc>
          <w:tcPr>
            <w:tcW w:type="dxa" w:w="22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Importations</w:t>
            </w:r>
          </w:p>
        </w:tc>
        <w:tc>
          <w:tcPr>
            <w:tcW w:type="dxa" w:w="43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Recording an import shipment for BIR's Summary List of Importations</w:t>
            </w:r>
          </w:p>
        </w:tc>
        <w:tc>
          <w:tcPr>
            <w:tcW w:type="dxa" w:w="22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w:t>
            </w:r>
          </w:p>
        </w:tc>
        <w:tc>
          <w:tcPr>
            <w:tcW w:type="dxa" w:w="11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No (feeds into a Cash Disbursement for the duty/VAT)</w:t>
            </w:r>
          </w:p>
        </w:tc>
      </w:tr>
      <w:tr>
        <w:tc>
          <w:tcPr>
            <w:tcW w:type="dxa" w:w="22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General journal</w:t>
            </w:r>
          </w:p>
        </w:tc>
        <w:tc>
          <w:tcPr>
            <w:tcW w:type="dxa" w:w="43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Anything else — manual debit/credit entries</w:t>
            </w:r>
          </w:p>
        </w:tc>
        <w:tc>
          <w:tcPr>
            <w:tcW w:type="dxa" w:w="22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Optional, per line</w:t>
            </w:r>
          </w:p>
        </w:tc>
        <w:tc>
          <w:tcPr>
            <w:tcW w:type="dxa" w:w="11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Depends</w:t>
            </w:r>
          </w:p>
        </w:tc>
      </w:tr>
    </w:tbl>
    <w:p>
      <w:pPr>
        <w:spacing w:after="200"/>
      </w:pPr>
    </w:p>
    <w:p>
      <w:pPr>
        <w:pStyle w:val="Heading2"/>
        <w:spacing w:after="140" w:before="340"/>
      </w:pPr>
      <w:r>
        <w:rPr>
          <w:rFonts w:ascii="Calibri" w:cs="Calibri" w:eastAsia="Calibri" w:hAnsi="Calibri"/>
          <w:b/>
          <w:bCs/>
          <w:color w:val="0B2A5E"/>
          <w:sz w:val="26"/>
          <w:szCs w:val="26"/>
        </w:rPr>
        <w:t xml:space="preserve">2.2 Cash Receipts</w:t>
      </w:r>
    </w:p>
    <w:p>
      <w:pPr>
        <w:pStyle w:val="Heading3"/>
        <w:spacing w:after="100" w:before="220"/>
      </w:pPr>
      <w:r>
        <w:rPr>
          <w:rFonts w:ascii="Calibri" w:cs="Calibri" w:eastAsia="Calibri" w:hAnsi="Calibri"/>
          <w:b/>
          <w:bCs/>
          <w:color w:val="1F2937"/>
          <w:sz w:val="22"/>
          <w:szCs w:val="22"/>
        </w:rPr>
        <w:t xml:space="preserve">Recording a Cash Receipt</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Transactions → Cash Receipts</w:t>
      </w:r>
    </w:p>
    <w:p>
      <w:pPr>
        <w:spacing w:after="140" w:line="276"/>
        <w:jc w:val="both"/>
      </w:pPr>
      <w:r>
        <w:rPr>
          <w:rFonts w:ascii="Calibri" w:cs="Calibri" w:eastAsia="Calibri" w:hAnsi="Calibri"/>
          <w:color w:val="1F2937"/>
          <w:sz w:val="21"/>
          <w:szCs w:val="21"/>
        </w:rPr>
        <w:t xml:space="preserve">Use this for every peso your business receives: cash sales, a customer paying down their account, or any other income.</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b/>
          <w:bCs/>
          <w:color w:val="1F2937"/>
          <w:sz w:val="21"/>
          <w:szCs w:val="21"/>
        </w:rPr>
        <w:t xml:space="preserve">Header — </w:t>
      </w:r>
      <w:r>
        <w:rPr>
          <w:rFonts w:ascii="Calibri" w:cs="Calibri" w:eastAsia="Calibri" w:hAnsi="Calibri"/>
          <w:color w:val="1F2937"/>
          <w:sz w:val="21"/>
          <w:szCs w:val="21"/>
        </w:rPr>
        <w:t xml:space="preserve">Date, OR no. (the official receipt number — a suggested next number is pre-filled, but you can change it), Check no. (optional), Branch, the Payor (searchable party picker — type to filter by code or name, or click "+ New" to add a party on the spot), and the Cash account the money is going into.</w:t>
      </w:r>
    </w:p>
    <w:p>
      <w:pPr>
        <w:pStyle w:val="ListParagraph"/>
        <w:numPr>
          <w:ilvl w:val="0"/>
          <w:numId w:val="2"/>
        </w:numPr>
        <w:spacing w:after="90" w:line="270"/>
        <w:jc w:val="both"/>
      </w:pPr>
      <w:r>
        <w:rPr>
          <w:rFonts w:ascii="Calibri" w:cs="Calibri" w:eastAsia="Calibri" w:hAnsi="Calibri"/>
          <w:b/>
          <w:bCs/>
          <w:color w:val="1F2937"/>
          <w:sz w:val="21"/>
          <w:szCs w:val="21"/>
        </w:rPr>
        <w:t xml:space="preserve">Scan receipt — </w:t>
      </w:r>
      <w:r>
        <w:rPr>
          <w:rFonts w:ascii="Calibri" w:cs="Calibri" w:eastAsia="Calibri" w:hAnsi="Calibri"/>
          <w:color w:val="1F2937"/>
          <w:sz w:val="21"/>
          <w:szCs w:val="21"/>
        </w:rPr>
        <w:t xml:space="preserve">click the camera button to upload a photo of a receipt; ARbixo reads it and pre-fills the date, payor, amount, VAT type and particulars for you to review before saving. Fields it isn't confident about are flagged for you to double-check.</w:t>
      </w:r>
    </w:p>
    <w:p>
      <w:pPr>
        <w:pStyle w:val="ListParagraph"/>
        <w:numPr>
          <w:ilvl w:val="0"/>
          <w:numId w:val="2"/>
        </w:numPr>
        <w:spacing w:after="90" w:line="270"/>
        <w:jc w:val="both"/>
      </w:pPr>
      <w:r>
        <w:rPr>
          <w:rFonts w:ascii="Calibri" w:cs="Calibri" w:eastAsia="Calibri" w:hAnsi="Calibri"/>
          <w:b/>
          <w:bCs/>
          <w:color w:val="1F2937"/>
          <w:sz w:val="21"/>
          <w:szCs w:val="21"/>
        </w:rPr>
        <w:t xml:space="preserve">Lines — </w:t>
      </w:r>
      <w:r>
        <w:rPr>
          <w:rFonts w:ascii="Calibri" w:cs="Calibri" w:eastAsia="Calibri" w:hAnsi="Calibri"/>
          <w:color w:val="1F2937"/>
          <w:sz w:val="21"/>
          <w:szCs w:val="21"/>
        </w:rPr>
        <w:t xml:space="preserve">one row per amount — Account, Ref No., Description, VAT type (12% VAT / Zero-Rated / VAT Exempt / Non-VAT), Amount, a Gross/Net switch for VAT lines, and an optional withholding tax (ATC) code. Net, VAT, and Withholding are computed for you as you fill each line.</w:t>
      </w:r>
    </w:p>
    <w:p>
      <w:pPr>
        <w:pStyle w:val="ListParagraph"/>
        <w:numPr>
          <w:ilvl w:val="0"/>
          <w:numId w:val="2"/>
        </w:numPr>
        <w:spacing w:after="90" w:line="270"/>
        <w:jc w:val="both"/>
      </w:pPr>
      <w:r>
        <w:rPr>
          <w:rFonts w:ascii="Calibri" w:cs="Calibri" w:eastAsia="Calibri" w:hAnsi="Calibri"/>
          <w:b/>
          <w:bCs/>
          <w:color w:val="1F2937"/>
          <w:sz w:val="21"/>
          <w:szCs w:val="21"/>
        </w:rPr>
        <w:t xml:space="preserve">Apply to invoice(s) — </w:t>
      </w:r>
      <w:r>
        <w:rPr>
          <w:rFonts w:ascii="Calibri" w:cs="Calibri" w:eastAsia="Calibri" w:hAnsi="Calibri"/>
          <w:color w:val="1F2937"/>
          <w:sz w:val="21"/>
          <w:szCs w:val="21"/>
        </w:rPr>
        <w:t xml:space="preserve">when a line's account is Accounts Receivable and you've picked a Customer, click the ⋯ to see that customer's open invoices and tick the ones this payment is settling — or type a partial amount. The line's Amount fills in to match automatically.</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Add as many lines as the receipt needs with "+ Add line"; "Clear" wipes them back to one.</w:t>
      </w:r>
    </w:p>
    <w:p>
      <w:pPr>
        <w:pStyle w:val="ListParagraph"/>
        <w:numPr>
          <w:ilvl w:val="0"/>
          <w:numId w:val="2"/>
        </w:numPr>
        <w:spacing w:after="90" w:line="270"/>
        <w:jc w:val="both"/>
      </w:pPr>
      <w:r>
        <w:rPr>
          <w:rFonts w:ascii="Calibri" w:cs="Calibri" w:eastAsia="Calibri" w:hAnsi="Calibri"/>
          <w:color w:val="1F2937"/>
          <w:sz w:val="21"/>
          <w:szCs w:val="21"/>
        </w:rPr>
        <w:t xml:space="preserve">Click Save to post. The screen immediately resets to a blank receipt with the next OR number ready, so you can keep entering without extra clicks.</w:t>
      </w:r>
    </w:p>
    <w:p>
      <w:pPr>
        <w:spacing w:after="60"/>
      </w:pP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NOTE</w:t>
            </w:r>
          </w:p>
          <w:p>
            <w:pPr>
              <w:spacing w:after="0" w:line="270"/>
              <w:jc w:val="both"/>
            </w:pPr>
            <w:r>
              <w:rPr>
                <w:rFonts w:ascii="Calibri" w:cs="Calibri" w:eastAsia="Calibri" w:hAnsi="Calibri"/>
                <w:color w:val="1F2937"/>
                <w:sz w:val="21"/>
                <w:szCs w:val="21"/>
              </w:rPr>
              <w:t xml:space="preserve">If you apply amounts to invoices on a line, they must add up to exactly that line's Amount, or ARbixo will stop you and tell you the mismatch before it lets you save. It also refuses to post a receipt whose total cash effect works out to zero or less — that usually means a line amount is wrong.</w:t>
            </w:r>
          </w:p>
        </w:tc>
      </w:tr>
    </w:tbl>
    <w:p>
      <w:pPr>
        <w:spacing w:after="160"/>
      </w:pPr>
    </w:p>
    <w:p>
      <w:pPr>
        <w:pStyle w:val="Heading2"/>
        <w:spacing w:after="140" w:before="340"/>
      </w:pPr>
      <w:r>
        <w:rPr>
          <w:rFonts w:ascii="Calibri" w:cs="Calibri" w:eastAsia="Calibri" w:hAnsi="Calibri"/>
          <w:b/>
          <w:bCs/>
          <w:color w:val="0B2A5E"/>
          <w:sz w:val="26"/>
          <w:szCs w:val="26"/>
        </w:rPr>
        <w:t xml:space="preserve">2.3 Sales on Account</w:t>
      </w:r>
    </w:p>
    <w:p>
      <w:pPr>
        <w:pStyle w:val="Heading3"/>
        <w:spacing w:after="100" w:before="220"/>
      </w:pPr>
      <w:r>
        <w:rPr>
          <w:rFonts w:ascii="Calibri" w:cs="Calibri" w:eastAsia="Calibri" w:hAnsi="Calibri"/>
          <w:b/>
          <w:bCs/>
          <w:color w:val="1F2937"/>
          <w:sz w:val="22"/>
          <w:szCs w:val="22"/>
        </w:rPr>
        <w:t xml:space="preserve">Recording an invoice</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Transactions → Sales on Account</w:t>
      </w:r>
    </w:p>
    <w:p>
      <w:pPr>
        <w:spacing w:after="140" w:line="276"/>
        <w:jc w:val="both"/>
      </w:pPr>
      <w:r>
        <w:rPr>
          <w:rFonts w:ascii="Calibri" w:cs="Calibri" w:eastAsia="Calibri" w:hAnsi="Calibri"/>
          <w:color w:val="1F2937"/>
          <w:sz w:val="21"/>
          <w:szCs w:val="21"/>
        </w:rPr>
        <w:t xml:space="preserve">This is the invoice itself — no cash moves yet. You collect it later with a Cash Receipt applied against this invoice.</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b/>
          <w:bCs/>
          <w:color w:val="1F2937"/>
          <w:sz w:val="21"/>
          <w:szCs w:val="21"/>
        </w:rPr>
        <w:t xml:space="preserve">Header — </w:t>
      </w:r>
      <w:r>
        <w:rPr>
          <w:rFonts w:ascii="Calibri" w:cs="Calibri" w:eastAsia="Calibri" w:hAnsi="Calibri"/>
          <w:color w:val="1F2937"/>
          <w:sz w:val="21"/>
          <w:szCs w:val="21"/>
        </w:rPr>
        <w:t xml:space="preserve">Date, Invoice no. (becomes "CM no." automatically if you tick Sales return, turning this into a credit memo), Check no. (optional), Branch, the Customer (searchable picker, quick-create available), the Receivable account, and Payment terms / Due date — picking a customer fills in their usual terms, and the due date recalculates itself whenever you change the date or terms.</w:t>
      </w:r>
    </w:p>
    <w:p>
      <w:pPr>
        <w:pStyle w:val="ListParagraph"/>
        <w:numPr>
          <w:ilvl w:val="0"/>
          <w:numId w:val="2"/>
        </w:numPr>
        <w:spacing w:after="90" w:line="270"/>
        <w:jc w:val="both"/>
      </w:pPr>
      <w:r>
        <w:rPr>
          <w:rFonts w:ascii="Calibri" w:cs="Calibri" w:eastAsia="Calibri" w:hAnsi="Calibri"/>
          <w:b/>
          <w:bCs/>
          <w:color w:val="1F2937"/>
          <w:sz w:val="21"/>
          <w:szCs w:val="21"/>
        </w:rPr>
        <w:t xml:space="preserve">Lines — </w:t>
      </w:r>
      <w:r>
        <w:rPr>
          <w:rFonts w:ascii="Calibri" w:cs="Calibri" w:eastAsia="Calibri" w:hAnsi="Calibri"/>
          <w:color w:val="1F2937"/>
          <w:sz w:val="21"/>
          <w:szCs w:val="21"/>
        </w:rPr>
        <w:t xml:space="preserve">Income account, Ref No., Description, VAT type, Amount, Gross/Net switch, and an optional withholding code — same computed Net/VAT/Withholding as Cash Receipts.</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"Save &amp; new" posts and immediately clears the form for the next invoice.</w:t>
      </w:r>
    </w:p>
    <w:p>
      <w:pPr>
        <w:pStyle w:val="ListParagraph"/>
        <w:numPr>
          <w:ilvl w:val="0"/>
          <w:numId w:val="2"/>
        </w:numPr>
        <w:spacing w:after="90" w:line="270"/>
        <w:jc w:val="both"/>
      </w:pPr>
      <w:r>
        <w:rPr>
          <w:rFonts w:ascii="Calibri" w:cs="Calibri" w:eastAsia="Calibri" w:hAnsi="Calibri"/>
          <w:color w:val="1F2937"/>
          <w:sz w:val="21"/>
          <w:szCs w:val="21"/>
        </w:rPr>
        <w:t xml:space="preserve">"Save" posts and keeps this invoice on screen (read-only) — useful if you want to double-check it before moving on; click New when you're ready for the next one.</w:t>
      </w:r>
    </w:p>
    <w:p>
      <w:pPr>
        <w:spacing w:after="160"/>
      </w:pPr>
    </w:p>
    <w:p>
      <w:pPr>
        <w:pStyle w:val="Heading2"/>
        <w:spacing w:after="140" w:before="340"/>
      </w:pPr>
      <w:r>
        <w:rPr>
          <w:rFonts w:ascii="Calibri" w:cs="Calibri" w:eastAsia="Calibri" w:hAnsi="Calibri"/>
          <w:b/>
          <w:bCs/>
          <w:color w:val="0B2A5E"/>
          <w:sz w:val="26"/>
          <w:szCs w:val="26"/>
        </w:rPr>
        <w:t xml:space="preserve">2.4 Cash Disbursement</w:t>
      </w:r>
    </w:p>
    <w:p>
      <w:pPr>
        <w:pStyle w:val="Heading3"/>
        <w:spacing w:after="100" w:before="220"/>
      </w:pPr>
      <w:r>
        <w:rPr>
          <w:rFonts w:ascii="Calibri" w:cs="Calibri" w:eastAsia="Calibri" w:hAnsi="Calibri"/>
          <w:b/>
          <w:bCs/>
          <w:color w:val="1F2937"/>
          <w:sz w:val="22"/>
          <w:szCs w:val="22"/>
        </w:rPr>
        <w:t xml:space="preserve">Recording a payment out</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Transactions → Cash Disbursement</w:t>
      </w:r>
    </w:p>
    <w:p>
      <w:pPr>
        <w:spacing w:after="140" w:line="276"/>
        <w:jc w:val="both"/>
      </w:pPr>
      <w:r>
        <w:rPr>
          <w:rFonts w:ascii="Calibri" w:cs="Calibri" w:eastAsia="Calibri" w:hAnsi="Calibri"/>
          <w:color w:val="1F2937"/>
          <w:sz w:val="21"/>
          <w:szCs w:val="21"/>
        </w:rPr>
        <w:t xml:space="preserve">Use this for every peso your business pays out: settling a supplier's bill, an expense, payroll, or any other outgoing payment.</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b/>
          <w:bCs/>
          <w:color w:val="1F2937"/>
          <w:sz w:val="21"/>
          <w:szCs w:val="21"/>
        </w:rPr>
        <w:t xml:space="preserve">Header — </w:t>
      </w:r>
      <w:r>
        <w:rPr>
          <w:rFonts w:ascii="Calibri" w:cs="Calibri" w:eastAsia="Calibri" w:hAnsi="Calibri"/>
          <w:color w:val="1F2937"/>
          <w:sz w:val="21"/>
          <w:szCs w:val="21"/>
        </w:rPr>
        <w:t xml:space="preserve">Date, CV no., Check no. (optional), Branch, the Payee (any party type), and the Cash account the money is coming from.</w:t>
      </w:r>
    </w:p>
    <w:p>
      <w:pPr>
        <w:pStyle w:val="ListParagraph"/>
        <w:numPr>
          <w:ilvl w:val="0"/>
          <w:numId w:val="2"/>
        </w:numPr>
        <w:spacing w:after="90" w:line="270"/>
        <w:jc w:val="both"/>
      </w:pPr>
      <w:r>
        <w:rPr>
          <w:rFonts w:ascii="Calibri" w:cs="Calibri" w:eastAsia="Calibri" w:hAnsi="Calibri"/>
          <w:b/>
          <w:bCs/>
          <w:color w:val="1F2937"/>
          <w:sz w:val="21"/>
          <w:szCs w:val="21"/>
        </w:rPr>
        <w:t xml:space="preserve">Lines — </w:t>
      </w:r>
      <w:r>
        <w:rPr>
          <w:rFonts w:ascii="Calibri" w:cs="Calibri" w:eastAsia="Calibri" w:hAnsi="Calibri"/>
          <w:color w:val="1F2937"/>
          <w:sz w:val="21"/>
          <w:szCs w:val="21"/>
        </w:rPr>
        <w:t xml:space="preserve">Account, Ref No., Description, a Nature (Goods / Services / Capital Goods, which narrows which withholding codes apply), VAT type, Amount, Gross/Net switch, and an ATC code. Each line's ⋯ also lets you attach a different party to that specific line, if one check is paying several people at once.</w:t>
      </w:r>
    </w:p>
    <w:p>
      <w:pPr>
        <w:pStyle w:val="ListParagraph"/>
        <w:numPr>
          <w:ilvl w:val="0"/>
          <w:numId w:val="2"/>
        </w:numPr>
        <w:spacing w:after="90" w:line="270"/>
        <w:jc w:val="both"/>
      </w:pPr>
      <w:r>
        <w:rPr>
          <w:rFonts w:ascii="Calibri" w:cs="Calibri" w:eastAsia="Calibri" w:hAnsi="Calibri"/>
          <w:b/>
          <w:bCs/>
          <w:color w:val="1F2937"/>
          <w:sz w:val="21"/>
          <w:szCs w:val="21"/>
        </w:rPr>
        <w:t xml:space="preserve">Apply to bill(s) — </w:t>
      </w:r>
      <w:r>
        <w:rPr>
          <w:rFonts w:ascii="Calibri" w:cs="Calibri" w:eastAsia="Calibri" w:hAnsi="Calibri"/>
          <w:color w:val="1F2937"/>
          <w:sz w:val="21"/>
          <w:szCs w:val="21"/>
        </w:rPr>
        <w:t xml:space="preserve">on an Accounts Payable line with a Vendor selected, click ⋯ to see that vendor's open bills and tick or partially apply against them, the same way Cash Receipts applies to invoices.</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"Save &amp; new" posts and clears the form immediately.</w:t>
      </w:r>
    </w:p>
    <w:p>
      <w:pPr>
        <w:pStyle w:val="ListParagraph"/>
        <w:numPr>
          <w:ilvl w:val="0"/>
          <w:numId w:val="2"/>
        </w:numPr>
        <w:spacing w:after="90" w:line="270"/>
        <w:jc w:val="both"/>
      </w:pPr>
      <w:r>
        <w:rPr>
          <w:rFonts w:ascii="Calibri" w:cs="Calibri" w:eastAsia="Calibri" w:hAnsi="Calibri"/>
          <w:color w:val="1F2937"/>
          <w:sz w:val="21"/>
          <w:szCs w:val="21"/>
        </w:rPr>
        <w:t xml:space="preserve">"Save" posts and keeps this voucher on screen, and unlocks three print options: Print voucher, Print check, and Print 2307 (the BIR withholding certificate for this payment). Click New to start the next one.</w:t>
      </w:r>
    </w:p>
    <w:p>
      <w:pPr>
        <w:spacing w:after="60"/>
      </w:pP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NOTE</w:t>
            </w:r>
          </w:p>
          <w:p>
            <w:pPr>
              <w:spacing w:after="0" w:line="270"/>
              <w:jc w:val="both"/>
            </w:pPr>
            <w:r>
              <w:rPr>
                <w:rFonts w:ascii="Calibri" w:cs="Calibri" w:eastAsia="Calibri" w:hAnsi="Calibri"/>
                <w:color w:val="1F2937"/>
                <w:sz w:val="21"/>
                <w:szCs w:val="21"/>
              </w:rPr>
              <w:t xml:space="preserve">Just like Cash Receipts, any amounts applied to bills must equal that line's Amount, and the voucher's total cash effect can't be zero or negative.</w:t>
            </w:r>
          </w:p>
        </w:tc>
      </w:tr>
    </w:tbl>
    <w:p>
      <w:pPr>
        <w:spacing w:after="160"/>
      </w:pPr>
    </w:p>
    <w:p>
      <w:pPr>
        <w:pStyle w:val="Heading2"/>
        <w:spacing w:after="140" w:before="340"/>
      </w:pPr>
      <w:r>
        <w:rPr>
          <w:rFonts w:ascii="Calibri" w:cs="Calibri" w:eastAsia="Calibri" w:hAnsi="Calibri"/>
          <w:b/>
          <w:bCs/>
          <w:color w:val="0B2A5E"/>
          <w:sz w:val="26"/>
          <w:szCs w:val="26"/>
        </w:rPr>
        <w:t xml:space="preserve">2.5 Purchase on Account</w:t>
      </w:r>
    </w:p>
    <w:p>
      <w:pPr>
        <w:pStyle w:val="Heading3"/>
        <w:spacing w:after="100" w:before="220"/>
      </w:pPr>
      <w:r>
        <w:rPr>
          <w:rFonts w:ascii="Calibri" w:cs="Calibri" w:eastAsia="Calibri" w:hAnsi="Calibri"/>
          <w:b/>
          <w:bCs/>
          <w:color w:val="1F2937"/>
          <w:sz w:val="22"/>
          <w:szCs w:val="22"/>
        </w:rPr>
        <w:t xml:space="preserve">Recording a supplier bill</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Transactions → Purchase on Account</w:t>
      </w:r>
    </w:p>
    <w:p>
      <w:pPr>
        <w:spacing w:after="140" w:line="276"/>
        <w:jc w:val="both"/>
      </w:pPr>
      <w:r>
        <w:rPr>
          <w:rFonts w:ascii="Calibri" w:cs="Calibri" w:eastAsia="Calibri" w:hAnsi="Calibri"/>
          <w:color w:val="1F2937"/>
          <w:sz w:val="21"/>
          <w:szCs w:val="21"/>
        </w:rPr>
        <w:t xml:space="preserve">The bill itself, on account — you'll pay it later with a Cash Disbursement applied against this bill.</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b/>
          <w:bCs/>
          <w:color w:val="1F2937"/>
          <w:sz w:val="21"/>
          <w:szCs w:val="21"/>
        </w:rPr>
        <w:t xml:space="preserve">Header — </w:t>
      </w:r>
      <w:r>
        <w:rPr>
          <w:rFonts w:ascii="Calibri" w:cs="Calibri" w:eastAsia="Calibri" w:hAnsi="Calibri"/>
          <w:color w:val="1F2937"/>
          <w:sz w:val="21"/>
          <w:szCs w:val="21"/>
        </w:rPr>
        <w:t xml:space="preserve">Date, PV no. (becomes "CM no." if you tick Purchase return), Check no. (optional), Branch, the Supplier, the Payable account, and Payment terms / Due date (auto-filled from the vendor, recalculated automatically).</w:t>
      </w:r>
    </w:p>
    <w:p>
      <w:pPr>
        <w:pStyle w:val="ListParagraph"/>
        <w:numPr>
          <w:ilvl w:val="0"/>
          <w:numId w:val="2"/>
        </w:numPr>
        <w:spacing w:after="90" w:line="270"/>
        <w:jc w:val="both"/>
      </w:pPr>
      <w:r>
        <w:rPr>
          <w:rFonts w:ascii="Calibri" w:cs="Calibri" w:eastAsia="Calibri" w:hAnsi="Calibri"/>
          <w:b/>
          <w:bCs/>
          <w:color w:val="1F2937"/>
          <w:sz w:val="21"/>
          <w:szCs w:val="21"/>
        </w:rPr>
        <w:t xml:space="preserve">Lines — </w:t>
      </w:r>
      <w:r>
        <w:rPr>
          <w:rFonts w:ascii="Calibri" w:cs="Calibri" w:eastAsia="Calibri" w:hAnsi="Calibri"/>
          <w:color w:val="1F2937"/>
          <w:sz w:val="21"/>
          <w:szCs w:val="21"/>
        </w:rPr>
        <w:t xml:space="preserve">Purchase/expense account, Ref No., Description, Nature, VAT type, Amount, Gross/Net switch, ATC code, and a per-line party override, same as Cash Disbursement.</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"Save &amp; new" / "Save" work the same way as Sales on Account.</w:t>
      </w:r>
    </w:p>
    <w:p>
      <w:pPr>
        <w:pStyle w:val="ListParagraph"/>
        <w:numPr>
          <w:ilvl w:val="0"/>
          <w:numId w:val="2"/>
        </w:numPr>
        <w:spacing w:after="90" w:line="270"/>
        <w:jc w:val="both"/>
      </w:pPr>
      <w:r>
        <w:rPr>
          <w:rFonts w:ascii="Calibri" w:cs="Calibri" w:eastAsia="Calibri" w:hAnsi="Calibri"/>
          <w:color w:val="1F2937"/>
          <w:sz w:val="21"/>
          <w:szCs w:val="21"/>
        </w:rPr>
        <w:t xml:space="preserve">Once posted and retained on screen, Print voucher and Print 2307 become available.</w:t>
      </w:r>
    </w:p>
    <w:p>
      <w:pPr>
        <w:spacing w:after="160"/>
      </w:pPr>
    </w:p>
    <w:p>
      <w:pPr>
        <w:pStyle w:val="Heading2"/>
        <w:spacing w:after="140" w:before="340"/>
      </w:pPr>
      <w:r>
        <w:rPr>
          <w:rFonts w:ascii="Calibri" w:cs="Calibri" w:eastAsia="Calibri" w:hAnsi="Calibri"/>
          <w:b/>
          <w:bCs/>
          <w:color w:val="0B2A5E"/>
          <w:sz w:val="26"/>
          <w:szCs w:val="26"/>
        </w:rPr>
        <w:t xml:space="preserve">2.6 Importations</w:t>
      </w:r>
    </w:p>
    <w:p>
      <w:pPr>
        <w:pStyle w:val="Heading3"/>
        <w:spacing w:after="100" w:before="220"/>
      </w:pPr>
      <w:r>
        <w:rPr>
          <w:rFonts w:ascii="Calibri" w:cs="Calibri" w:eastAsia="Calibri" w:hAnsi="Calibri"/>
          <w:b/>
          <w:bCs/>
          <w:color w:val="1F2937"/>
          <w:sz w:val="22"/>
          <w:szCs w:val="22"/>
        </w:rPr>
        <w:t xml:space="preserve">Recording an import</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Transactions → Importations</w:t>
      </w:r>
    </w:p>
    <w:p>
      <w:pPr>
        <w:spacing w:after="140" w:line="276"/>
        <w:jc w:val="both"/>
      </w:pPr>
      <w:r>
        <w:rPr>
          <w:rFonts w:ascii="Calibri" w:cs="Calibri" w:eastAsia="Calibri" w:hAnsi="Calibri"/>
          <w:color w:val="1F2937"/>
          <w:sz w:val="21"/>
          <w:szCs w:val="21"/>
        </w:rPr>
        <w:t xml:space="preserve">A dedicated record for goods brought in from abroad, feeding the BIR Summary List of Importations (SLI). It isn't a debit/credit ledger entry like the other five — just the shipment's details.</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b/>
          <w:bCs/>
          <w:color w:val="1F2937"/>
          <w:sz w:val="21"/>
          <w:szCs w:val="21"/>
        </w:rPr>
        <w:t xml:space="preserve">Fields — </w:t>
      </w:r>
      <w:r>
        <w:rPr>
          <w:rFonts w:ascii="Calibri" w:cs="Calibri" w:eastAsia="Calibri" w:hAnsi="Calibri"/>
          <w:color w:val="1F2937"/>
          <w:sz w:val="21"/>
          <w:szCs w:val="21"/>
        </w:rPr>
        <w:t xml:space="preserve">Date of importation, Assessment/release date, Country of origin, Name of seller, Dutiable value, All charges before release, VAT treatment (Taxable 12% or VAT-Exempt), and the OR no. / Date of payment once you've paid the duty. A live preview shows the computed taxable base and VAT before you save.</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Click Record importation to save it — ARbixo then opens Cash Disbursement right away as a reminder to record the duty/VAT payment, since that's typically paid at the same time.</w:t>
      </w:r>
    </w:p>
    <w:p>
      <w:pPr>
        <w:pStyle w:val="ListParagraph"/>
        <w:numPr>
          <w:ilvl w:val="0"/>
          <w:numId w:val="2"/>
        </w:numPr>
        <w:spacing w:after="90" w:line="270"/>
        <w:jc w:val="both"/>
      </w:pPr>
      <w:r>
        <w:rPr>
          <w:rFonts w:ascii="Calibri" w:cs="Calibri" w:eastAsia="Calibri" w:hAnsi="Calibri"/>
          <w:color w:val="1F2937"/>
          <w:sz w:val="21"/>
          <w:szCs w:val="21"/>
        </w:rPr>
        <w:t xml:space="preserve">Every importation you've recorded is listed below the form; each row has a Delete action if you need to remove one.</w:t>
      </w:r>
    </w:p>
    <w:p>
      <w:pPr>
        <w:spacing w:after="160"/>
      </w:pPr>
    </w:p>
    <w:p>
      <w:pPr>
        <w:pStyle w:val="Heading2"/>
        <w:spacing w:after="140" w:before="340"/>
      </w:pPr>
      <w:r>
        <w:rPr>
          <w:rFonts w:ascii="Calibri" w:cs="Calibri" w:eastAsia="Calibri" w:hAnsi="Calibri"/>
          <w:b/>
          <w:bCs/>
          <w:color w:val="0B2A5E"/>
          <w:sz w:val="26"/>
          <w:szCs w:val="26"/>
        </w:rPr>
        <w:t xml:space="preserve">2.7 General Journal</w:t>
      </w:r>
    </w:p>
    <w:p>
      <w:pPr>
        <w:pStyle w:val="Heading3"/>
        <w:spacing w:after="100" w:before="220"/>
      </w:pPr>
      <w:r>
        <w:rPr>
          <w:rFonts w:ascii="Calibri" w:cs="Calibri" w:eastAsia="Calibri" w:hAnsi="Calibri"/>
          <w:b/>
          <w:bCs/>
          <w:color w:val="1F2937"/>
          <w:sz w:val="22"/>
          <w:szCs w:val="22"/>
        </w:rPr>
        <w:t xml:space="preserve">A manual journal entry</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Transactions → General journal</w:t>
      </w:r>
    </w:p>
    <w:p>
      <w:pPr>
        <w:spacing w:after="140" w:line="276"/>
        <w:jc w:val="both"/>
      </w:pPr>
      <w:r>
        <w:rPr>
          <w:rFonts w:ascii="Calibri" w:cs="Calibri" w:eastAsia="Calibri" w:hAnsi="Calibri"/>
          <w:color w:val="1F2937"/>
          <w:sz w:val="21"/>
          <w:szCs w:val="21"/>
        </w:rPr>
        <w:t xml:space="preserve">The catch-all for anything the other five screens don't cover. Unlike them, you build both the debit and credit sides yourself, and ARbixo checks that they balance before it lets you save.</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b/>
          <w:bCs/>
          <w:color w:val="1F2937"/>
          <w:sz w:val="21"/>
          <w:szCs w:val="21"/>
        </w:rPr>
        <w:t xml:space="preserve">Header — </w:t>
      </w:r>
      <w:r>
        <w:rPr>
          <w:rFonts w:ascii="Calibri" w:cs="Calibri" w:eastAsia="Calibri" w:hAnsi="Calibri"/>
          <w:color w:val="1F2937"/>
          <w:sz w:val="21"/>
          <w:szCs w:val="21"/>
        </w:rPr>
        <w:t xml:space="preserve">Date, JV no., Check no. (optional), Branch. There's no single party field here — you attach a party per line instead, if a line needs one.</w:t>
      </w:r>
    </w:p>
    <w:p>
      <w:pPr>
        <w:pStyle w:val="ListParagraph"/>
        <w:numPr>
          <w:ilvl w:val="0"/>
          <w:numId w:val="2"/>
        </w:numPr>
        <w:spacing w:after="90" w:line="270"/>
        <w:jc w:val="both"/>
      </w:pPr>
      <w:r>
        <w:rPr>
          <w:rFonts w:ascii="Calibri" w:cs="Calibri" w:eastAsia="Calibri" w:hAnsi="Calibri"/>
          <w:b/>
          <w:bCs/>
          <w:color w:val="1F2937"/>
          <w:sz w:val="21"/>
          <w:szCs w:val="21"/>
        </w:rPr>
        <w:t xml:space="preserve">Lines — </w:t>
      </w:r>
      <w:r>
        <w:rPr>
          <w:rFonts w:ascii="Calibri" w:cs="Calibri" w:eastAsia="Calibri" w:hAnsi="Calibri"/>
          <w:color w:val="1F2937"/>
          <w:sz w:val="21"/>
          <w:szCs w:val="21"/>
        </w:rPr>
        <w:t xml:space="preserve">Account, Ref No., a Debit box and a Credit box (typing in one clears the other on that row), and a Line description. Each line's ⋯ optionally lets you "+ attach party" and/or "+ VAT info" — a small VAT calculator that computes the Net/VAT amount for you and drops it straight into that line's Debit or Credit with one click, so a JV line still reports correctly on your VAT/BIR reports even though the entry itself is manual.</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"Save &amp; new" / "Save" work the same as the other multi-line forms.</w:t>
      </w:r>
    </w:p>
    <w:p>
      <w:pPr>
        <w:spacing w:after="60"/>
      </w:pP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NOTE</w:t>
            </w:r>
          </w:p>
          <w:p>
            <w:pPr>
              <w:spacing w:after="0" w:line="270"/>
              <w:jc w:val="both"/>
            </w:pPr>
            <w:r>
              <w:rPr>
                <w:rFonts w:ascii="Calibri" w:cs="Calibri" w:eastAsia="Calibri" w:hAnsi="Calibri"/>
                <w:color w:val="1F2937"/>
                <w:sz w:val="21"/>
                <w:szCs w:val="21"/>
              </w:rPr>
              <w:t xml:space="preserve">The Total debit, Total credit, and Difference are shown live at the bottom. Both Save buttons stay disabled until the Difference reads exactly zero — ARbixo will not let an out-of-balance journal entry be posted.</w:t>
            </w:r>
          </w:p>
        </w:tc>
      </w:tr>
    </w:tbl>
    <w:p>
      <w:pPr>
        <w:spacing w:after="160"/>
      </w:pPr>
    </w:p>
    <w:p>
      <w:pPr>
        <w:pStyle w:val="Heading2"/>
        <w:spacing w:after="140" w:before="340"/>
      </w:pPr>
      <w:r>
        <w:rPr>
          <w:rFonts w:ascii="Calibri" w:cs="Calibri" w:eastAsia="Calibri" w:hAnsi="Calibri"/>
          <w:b/>
          <w:bCs/>
          <w:color w:val="0B2A5E"/>
          <w:sz w:val="26"/>
          <w:szCs w:val="26"/>
        </w:rPr>
        <w:t xml:space="preserve">2.8 Importing transactions from Excel</w:t>
      </w:r>
    </w:p>
    <w:p>
      <w:pPr>
        <w:spacing w:after="140" w:line="276"/>
        <w:jc w:val="both"/>
      </w:pPr>
      <w:r>
        <w:rPr>
          <w:rFonts w:ascii="Calibri" w:cs="Calibri" w:eastAsia="Calibri" w:hAnsi="Calibri"/>
          <w:color w:val="1F2937"/>
          <w:sz w:val="21"/>
          <w:szCs w:val="21"/>
        </w:rPr>
        <w:t xml:space="preserve">Every transaction screen has an "Import from Excel" link for entering many documents at once instead of typing them one by one.</w:t>
      </w:r>
    </w:p>
    <w:p>
      <w:pPr>
        <w:pStyle w:val="ListParagraph"/>
        <w:numPr>
          <w:ilvl w:val="0"/>
          <w:numId w:val="2"/>
        </w:numPr>
        <w:spacing w:after="90" w:line="270"/>
        <w:jc w:val="both"/>
      </w:pPr>
      <w:r>
        <w:rPr>
          <w:rFonts w:ascii="Calibri" w:cs="Calibri" w:eastAsia="Calibri" w:hAnsi="Calibri"/>
          <w:color w:val="1F2937"/>
          <w:sz w:val="21"/>
          <w:szCs w:val="21"/>
        </w:rPr>
        <w:t xml:space="preserve">Download the template (.csv) for that transaction type — it's already laid out for exactly what that screen expects.</w:t>
      </w:r>
    </w:p>
    <w:p>
      <w:pPr>
        <w:pStyle w:val="ListParagraph"/>
        <w:numPr>
          <w:ilvl w:val="0"/>
          <w:numId w:val="2"/>
        </w:numPr>
        <w:spacing w:after="90" w:line="270"/>
        <w:jc w:val="both"/>
      </w:pPr>
      <w:r>
        <w:rPr>
          <w:rFonts w:ascii="Calibri" w:cs="Calibri" w:eastAsia="Calibri" w:hAnsi="Calibri"/>
          <w:color w:val="1F2937"/>
          <w:sz w:val="21"/>
          <w:szCs w:val="21"/>
        </w:rPr>
        <w:t xml:space="preserve">Fill it in (an .xlsx file works too) and choose the file. Rows sharing the same document/reference number combine into one multi-line document, e.g. several income lines under one invoice number.</w:t>
      </w:r>
    </w:p>
    <w:p>
      <w:pPr>
        <w:pStyle w:val="ListParagraph"/>
        <w:numPr>
          <w:ilvl w:val="0"/>
          <w:numId w:val="2"/>
        </w:numPr>
        <w:spacing w:after="90" w:line="270"/>
        <w:jc w:val="both"/>
      </w:pPr>
      <w:r>
        <w:rPr>
          <w:rFonts w:ascii="Calibri" w:cs="Calibri" w:eastAsia="Calibri" w:hAnsi="Calibri"/>
          <w:color w:val="1F2937"/>
          <w:sz w:val="21"/>
          <w:szCs w:val="21"/>
        </w:rPr>
        <w:t xml:space="preserve">Click Preview first — ARbixo checks the file without posting anything, and shows you a preview table plus a list of any rows it couldn't import as-is.</w:t>
      </w:r>
    </w:p>
    <w:p>
      <w:pPr>
        <w:pStyle w:val="ListParagraph"/>
        <w:numPr>
          <w:ilvl w:val="0"/>
          <w:numId w:val="2"/>
        </w:numPr>
        <w:spacing w:after="90" w:line="270"/>
        <w:jc w:val="both"/>
      </w:pPr>
      <w:r>
        <w:rPr>
          <w:rFonts w:ascii="Calibri" w:cs="Calibri" w:eastAsia="Calibri" w:hAnsi="Calibri"/>
          <w:color w:val="1F2937"/>
          <w:sz w:val="21"/>
          <w:szCs w:val="21"/>
        </w:rPr>
        <w:t xml:space="preserve">Once the preview looks right, click Import to post it for real. You'll get a result showing how many documents posted successfully and the details of any that failed.</w:t>
      </w: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3. History — Reviewing Posted Transactions</w:t>
      </w:r>
    </w:p>
    <w:p>
      <w:pPr>
        <w:spacing w:after="140" w:line="276"/>
        <w:jc w:val="both"/>
      </w:pPr>
      <w:r>
        <w:rPr>
          <w:rFonts w:ascii="Calibri" w:cs="Calibri" w:eastAsia="Calibri" w:hAnsi="Calibri"/>
          <w:color w:val="1F2937"/>
          <w:sz w:val="21"/>
          <w:szCs w:val="21"/>
        </w:rPr>
        <w:t xml:space="preserve">Every posted Cash Receipt, Sales on Account, Cash Disbursement, Purchase on Account, and General Journal document is browsable under the History menu (Importations doesn't have a History page, since it isn't a ledger transaction).</w:t>
      </w:r>
    </w:p>
    <w:p>
      <w:pPr>
        <w:pStyle w:val="Heading2"/>
        <w:spacing w:after="140" w:before="340"/>
      </w:pPr>
      <w:r>
        <w:rPr>
          <w:rFonts w:ascii="Calibri" w:cs="Calibri" w:eastAsia="Calibri" w:hAnsi="Calibri"/>
          <w:b/>
          <w:bCs/>
          <w:color w:val="0B2A5E"/>
          <w:sz w:val="26"/>
          <w:szCs w:val="26"/>
        </w:rPr>
        <w:t xml:space="preserve">3.1 Finding a document</w:t>
      </w:r>
    </w:p>
    <w:p>
      <w:pPr>
        <w:pStyle w:val="ListParagraph"/>
        <w:numPr>
          <w:ilvl w:val="0"/>
          <w:numId w:val="2"/>
        </w:numPr>
        <w:spacing w:after="90" w:line="270"/>
        <w:jc w:val="both"/>
      </w:pPr>
      <w:r>
        <w:rPr>
          <w:rFonts w:ascii="Calibri" w:cs="Calibri" w:eastAsia="Calibri" w:hAnsi="Calibri"/>
          <w:color w:val="1F2937"/>
          <w:sz w:val="21"/>
          <w:szCs w:val="21"/>
        </w:rPr>
        <w:t xml:space="preserve">Open History → the transaction type you're looking for.</w:t>
      </w:r>
    </w:p>
    <w:p>
      <w:pPr>
        <w:pStyle w:val="ListParagraph"/>
        <w:numPr>
          <w:ilvl w:val="0"/>
          <w:numId w:val="2"/>
        </w:numPr>
        <w:spacing w:after="90" w:line="270"/>
        <w:jc w:val="both"/>
      </w:pPr>
      <w:r>
        <w:rPr>
          <w:rFonts w:ascii="Calibri" w:cs="Calibri" w:eastAsia="Calibri" w:hAnsi="Calibri"/>
          <w:color w:val="1F2937"/>
          <w:sz w:val="21"/>
          <w:szCs w:val="21"/>
        </w:rPr>
        <w:t xml:space="preserve">Narrow the list with a From/To date range and a free-text search that matches the document number, party, or reference — results update live.</w:t>
      </w:r>
    </w:p>
    <w:p>
      <w:pPr>
        <w:pStyle w:val="ListParagraph"/>
        <w:numPr>
          <w:ilvl w:val="0"/>
          <w:numId w:val="2"/>
        </w:numPr>
        <w:spacing w:after="90" w:line="270"/>
        <w:jc w:val="both"/>
      </w:pPr>
      <w:r>
        <w:rPr>
          <w:rFonts w:ascii="Calibri" w:cs="Calibri" w:eastAsia="Calibri" w:hAnsi="Calibri"/>
          <w:color w:val="1F2937"/>
          <w:sz w:val="21"/>
          <w:szCs w:val="21"/>
        </w:rPr>
        <w:t xml:space="preserve">The results table shows Doc no., Date, Party, Net, VAT, W/tax, Amount, any attached Files, and Status (Posted, or Cancelled in red). Cash Disbursement rows also get a direct "Print check" button.</w:t>
      </w:r>
    </w:p>
    <w:p>
      <w:pPr>
        <w:pStyle w:val="ListParagraph"/>
        <w:numPr>
          <w:ilvl w:val="0"/>
          <w:numId w:val="2"/>
        </w:numPr>
        <w:spacing w:after="90" w:line="270"/>
        <w:jc w:val="both"/>
      </w:pPr>
      <w:r>
        <w:rPr>
          <w:rFonts w:ascii="Calibri" w:cs="Calibri" w:eastAsia="Calibri" w:hAnsi="Calibri"/>
          <w:color w:val="1F2937"/>
          <w:sz w:val="21"/>
          <w:szCs w:val="21"/>
        </w:rPr>
        <w:t xml:space="preserve">Export to Excel downloads whatever's currently on screen.</w:t>
      </w:r>
    </w:p>
    <w:p>
      <w:pPr>
        <w:pStyle w:val="ListParagraph"/>
        <w:numPr>
          <w:ilvl w:val="0"/>
          <w:numId w:val="2"/>
        </w:numPr>
        <w:spacing w:after="90" w:line="270"/>
        <w:jc w:val="both"/>
      </w:pPr>
      <w:r>
        <w:rPr>
          <w:rFonts w:ascii="Calibri" w:cs="Calibri" w:eastAsia="Calibri" w:hAnsi="Calibri"/>
          <w:color w:val="1F2937"/>
          <w:sz w:val="21"/>
          <w:szCs w:val="21"/>
        </w:rPr>
        <w:t xml:space="preserve">Click any row to open the full document — its header, lines, totals, and any attachments — in a read-only view.</w:t>
      </w:r>
    </w:p>
    <w:p>
      <w:pPr>
        <w:pStyle w:val="Heading2"/>
        <w:spacing w:after="140" w:before="340"/>
      </w:pPr>
      <w:r>
        <w:rPr>
          <w:rFonts w:ascii="Calibri" w:cs="Calibri" w:eastAsia="Calibri" w:hAnsi="Calibri"/>
          <w:b/>
          <w:bCs/>
          <w:color w:val="0B2A5E"/>
          <w:sz w:val="26"/>
          <w:szCs w:val="26"/>
        </w:rPr>
        <w:t xml:space="preserve">3.2 Printing and cancelling a posted document</w:t>
      </w:r>
    </w:p>
    <w:p>
      <w:pPr>
        <w:spacing w:after="140" w:line="276"/>
        <w:jc w:val="both"/>
      </w:pPr>
      <w:r>
        <w:rPr>
          <w:rFonts w:ascii="Calibri" w:cs="Calibri" w:eastAsia="Calibri" w:hAnsi="Calibri"/>
          <w:color w:val="1F2937"/>
          <w:sz w:val="21"/>
          <w:szCs w:val="21"/>
        </w:rPr>
        <w:t xml:space="preserve">From a document's detail view, the buttons available depend on the transaction type:</w:t>
      </w:r>
    </w:p>
    <w:p>
      <w:pPr>
        <w:pStyle w:val="ListParagraph"/>
        <w:numPr>
          <w:ilvl w:val="0"/>
          <w:numId w:val="2"/>
        </w:numPr>
        <w:spacing w:after="90" w:line="270"/>
        <w:jc w:val="both"/>
      </w:pPr>
      <w:r>
        <w:rPr>
          <w:rFonts w:ascii="Calibri" w:cs="Calibri" w:eastAsia="Calibri" w:hAnsi="Calibri"/>
          <w:b/>
          <w:bCs/>
          <w:color w:val="1F2937"/>
          <w:sz w:val="21"/>
          <w:szCs w:val="21"/>
        </w:rPr>
        <w:t xml:space="preserve">Print voucher — </w:t>
      </w:r>
      <w:r>
        <w:rPr>
          <w:rFonts w:ascii="Calibri" w:cs="Calibri" w:eastAsia="Calibri" w:hAnsi="Calibri"/>
          <w:color w:val="1F2937"/>
          <w:sz w:val="21"/>
          <w:szCs w:val="21"/>
        </w:rPr>
        <w:t xml:space="preserve">available for Cash Receipt, Cash Disbursement, and Purchase on Account.</w:t>
      </w:r>
    </w:p>
    <w:p>
      <w:pPr>
        <w:pStyle w:val="ListParagraph"/>
        <w:numPr>
          <w:ilvl w:val="0"/>
          <w:numId w:val="2"/>
        </w:numPr>
        <w:spacing w:after="90" w:line="270"/>
        <w:jc w:val="both"/>
      </w:pPr>
      <w:r>
        <w:rPr>
          <w:rFonts w:ascii="Calibri" w:cs="Calibri" w:eastAsia="Calibri" w:hAnsi="Calibri"/>
          <w:b/>
          <w:bCs/>
          <w:color w:val="1F2937"/>
          <w:sz w:val="21"/>
          <w:szCs w:val="21"/>
        </w:rPr>
        <w:t xml:space="preserve">Print 2307 — </w:t>
      </w:r>
      <w:r>
        <w:rPr>
          <w:rFonts w:ascii="Calibri" w:cs="Calibri" w:eastAsia="Calibri" w:hAnsi="Calibri"/>
          <w:color w:val="1F2937"/>
          <w:sz w:val="21"/>
          <w:szCs w:val="21"/>
        </w:rPr>
        <w:t xml:space="preserve">available for Cash Disbursement and Purchase on Account (the BIR withholding certificate for that document).</w:t>
      </w:r>
    </w:p>
    <w:p>
      <w:pPr>
        <w:pStyle w:val="ListParagraph"/>
        <w:numPr>
          <w:ilvl w:val="0"/>
          <w:numId w:val="2"/>
        </w:numPr>
        <w:spacing w:after="90" w:line="270"/>
        <w:jc w:val="both"/>
      </w:pPr>
      <w:r>
        <w:rPr>
          <w:rFonts w:ascii="Calibri" w:cs="Calibri" w:eastAsia="Calibri" w:hAnsi="Calibri"/>
          <w:b/>
          <w:bCs/>
          <w:color w:val="1F2937"/>
          <w:sz w:val="21"/>
          <w:szCs w:val="21"/>
        </w:rPr>
        <w:t xml:space="preserve">Cancel transaction — </w:t>
      </w:r>
      <w:r>
        <w:rPr>
          <w:rFonts w:ascii="Calibri" w:cs="Calibri" w:eastAsia="Calibri" w:hAnsi="Calibri"/>
          <w:color w:val="1F2937"/>
          <w:sz w:val="21"/>
          <w:szCs w:val="21"/>
        </w:rPr>
        <w:t xml:space="preserve">available on any document that isn't already cancelled. You'll be asked to type a reason, which is required.</w:t>
      </w:r>
    </w:p>
    <w:p>
      <w:pPr>
        <w:spacing w:after="60"/>
      </w:pP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NOTE</w:t>
            </w:r>
          </w:p>
          <w:p>
            <w:pPr>
              <w:spacing w:after="0" w:line="270"/>
              <w:jc w:val="both"/>
            </w:pPr>
            <w:r>
              <w:rPr>
                <w:rFonts w:ascii="Calibri" w:cs="Calibri" w:eastAsia="Calibri" w:hAnsi="Calibri"/>
                <w:color w:val="1F2937"/>
                <w:sz w:val="21"/>
                <w:szCs w:val="21"/>
              </w:rPr>
              <w:t xml:space="preserve">Cancelling doesn't delete or edit the original document — it posts an exact mirror-image reversal (its document number with a "-C" suffix), and marks both the original and the reversal as Cancelled. The financial effect disappears from every report, but both documents stay visible in History for a full audit trail. A document can only be cancelled once. Both User and Manager accounts can cancel their own company's posted documents — this isn't a Manager-only power.</w:t>
            </w:r>
          </w:p>
        </w:tc>
      </w:tr>
    </w:tbl>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4. Financial Reports</w:t>
      </w:r>
    </w:p>
    <w:p>
      <w:pPr>
        <w:spacing w:after="140" w:line="276"/>
        <w:jc w:val="both"/>
      </w:pPr>
      <w:r>
        <w:rPr>
          <w:rFonts w:ascii="Calibri" w:cs="Calibri" w:eastAsia="Calibri" w:hAnsi="Calibri"/>
          <w:color w:val="1F2937"/>
          <w:sz w:val="21"/>
          <w:szCs w:val="21"/>
        </w:rPr>
        <w:t xml:space="preserve">Under Financial Report you'll find the standard set of statements every business needs, all generated live from what you've posted — nothing here needs a separate "closing" step.</w:t>
      </w:r>
    </w:p>
    <w:p>
      <w:pPr>
        <w:pStyle w:val="Heading2"/>
        <w:spacing w:after="140" w:before="340"/>
      </w:pPr>
      <w:r>
        <w:rPr>
          <w:rFonts w:ascii="Calibri" w:cs="Calibri" w:eastAsia="Calibri" w:hAnsi="Calibri"/>
          <w:b/>
          <w:bCs/>
          <w:color w:val="0B2A5E"/>
          <w:sz w:val="26"/>
          <w:szCs w:val="26"/>
        </w:rPr>
        <w:t xml:space="preserve">4.1 Trial balance</w:t>
      </w:r>
    </w:p>
    <w:p>
      <w:pPr>
        <w:pStyle w:val="Heading3"/>
        <w:spacing w:after="100" w:before="220"/>
      </w:pPr>
      <w:r>
        <w:rPr>
          <w:rFonts w:ascii="Calibri" w:cs="Calibri" w:eastAsia="Calibri" w:hAnsi="Calibri"/>
          <w:b/>
          <w:bCs/>
          <w:color w:val="1F2937"/>
          <w:sz w:val="22"/>
          <w:szCs w:val="22"/>
        </w:rPr>
        <w:t xml:space="preserve">Trial balance</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Financial Report → Trial balance</w:t>
      </w:r>
    </w:p>
    <w:p>
      <w:pPr>
        <w:spacing w:after="140" w:line="276"/>
        <w:jc w:val="both"/>
      </w:pPr>
      <w:r>
        <w:rPr>
          <w:rFonts w:ascii="Calibri" w:cs="Calibri" w:eastAsia="Calibri" w:hAnsi="Calibri"/>
          <w:color w:val="1F2937"/>
          <w:sz w:val="21"/>
          <w:szCs w:val="21"/>
        </w:rPr>
        <w:t xml:space="preserve">Every account's balance in one list, grouped by classification, with a check that debits equal credits.</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Branch filter (consolidated or one branch).</w:t>
      </w:r>
    </w:p>
    <w:p>
      <w:pPr>
        <w:pStyle w:val="ListParagraph"/>
        <w:numPr>
          <w:ilvl w:val="0"/>
          <w:numId w:val="2"/>
        </w:numPr>
        <w:spacing w:after="90" w:line="270"/>
        <w:jc w:val="both"/>
      </w:pPr>
      <w:r>
        <w:rPr>
          <w:rFonts w:ascii="Calibri" w:cs="Calibri" w:eastAsia="Calibri" w:hAnsi="Calibri"/>
          <w:color w:val="1F2937"/>
          <w:sz w:val="21"/>
          <w:szCs w:val="21"/>
        </w:rPr>
        <w:t xml:space="preserve">Mode: "Year to date" (an As of date; the balance includes everything posted up to that date) or "Current net change" (a From/To range; movement only, no opening balance).</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Print</w:t>
      </w:r>
    </w:p>
    <w:p>
      <w:pPr>
        <w:pStyle w:val="ListParagraph"/>
        <w:numPr>
          <w:ilvl w:val="0"/>
          <w:numId w:val="2"/>
        </w:numPr>
        <w:spacing w:after="90" w:line="270"/>
        <w:jc w:val="both"/>
      </w:pPr>
      <w:r>
        <w:rPr>
          <w:rFonts w:ascii="Calibri" w:cs="Calibri" w:eastAsia="Calibri" w:hAnsi="Calibri"/>
          <w:color w:val="1F2937"/>
          <w:sz w:val="21"/>
          <w:szCs w:val="21"/>
        </w:rPr>
        <w:t xml:space="preserve">Export to Excel</w:t>
      </w:r>
    </w:p>
    <w:p>
      <w:pPr>
        <w:spacing w:after="160"/>
      </w:pPr>
    </w:p>
    <w:p>
      <w:pPr>
        <w:pStyle w:val="Heading2"/>
        <w:spacing w:after="140" w:before="340"/>
      </w:pPr>
      <w:r>
        <w:rPr>
          <w:rFonts w:ascii="Calibri" w:cs="Calibri" w:eastAsia="Calibri" w:hAnsi="Calibri"/>
          <w:b/>
          <w:bCs/>
          <w:color w:val="0B2A5E"/>
          <w:sz w:val="26"/>
          <w:szCs w:val="26"/>
        </w:rPr>
        <w:t xml:space="preserve">4.2 Balance sheet</w:t>
      </w:r>
    </w:p>
    <w:p>
      <w:pPr>
        <w:pStyle w:val="Heading3"/>
        <w:spacing w:after="100" w:before="220"/>
      </w:pPr>
      <w:r>
        <w:rPr>
          <w:rFonts w:ascii="Calibri" w:cs="Calibri" w:eastAsia="Calibri" w:hAnsi="Calibri"/>
          <w:b/>
          <w:bCs/>
          <w:color w:val="1F2937"/>
          <w:sz w:val="22"/>
          <w:szCs w:val="22"/>
        </w:rPr>
        <w:t xml:space="preserve">Balance sheet</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Financial Report → Balance sheet</w:t>
      </w:r>
    </w:p>
    <w:p>
      <w:pPr>
        <w:spacing w:after="140" w:line="276"/>
        <w:jc w:val="both"/>
      </w:pPr>
      <w:r>
        <w:rPr>
          <w:rFonts w:ascii="Calibri" w:cs="Calibri" w:eastAsia="Calibri" w:hAnsi="Calibri"/>
          <w:color w:val="1F2937"/>
          <w:sz w:val="21"/>
          <w:szCs w:val="21"/>
        </w:rPr>
        <w:t xml:space="preserve">Assets, Liabilities, and Equity as of a chosen date.</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Branch filter; an As of date; a Fiscal year start date (auto-set from your company's fiscal month-end, editable); quick Month-end / Quarter-end / Year-end preset buttons.</w:t>
      </w:r>
    </w:p>
    <w:p>
      <w:pPr>
        <w:pStyle w:val="ListParagraph"/>
        <w:numPr>
          <w:ilvl w:val="0"/>
          <w:numId w:val="2"/>
        </w:numPr>
        <w:spacing w:after="90" w:line="270"/>
        <w:jc w:val="both"/>
      </w:pPr>
      <w:r>
        <w:rPr>
          <w:rFonts w:ascii="Calibri" w:cs="Calibri" w:eastAsia="Calibri" w:hAnsi="Calibri"/>
          <w:color w:val="1F2937"/>
          <w:sz w:val="21"/>
          <w:szCs w:val="21"/>
        </w:rPr>
        <w:t xml:space="preserve">The Equity section includes Current period earnings, and — if it applies — a highlighted Prior years' unclosed earnings line.</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Print</w:t>
      </w:r>
    </w:p>
    <w:p>
      <w:pPr>
        <w:pStyle w:val="ListParagraph"/>
        <w:numPr>
          <w:ilvl w:val="0"/>
          <w:numId w:val="2"/>
        </w:numPr>
        <w:spacing w:after="90" w:line="270"/>
        <w:jc w:val="both"/>
      </w:pPr>
      <w:r>
        <w:rPr>
          <w:rFonts w:ascii="Calibri" w:cs="Calibri" w:eastAsia="Calibri" w:hAnsi="Calibri"/>
          <w:color w:val="1F2937"/>
          <w:sz w:val="21"/>
          <w:szCs w:val="21"/>
        </w:rPr>
        <w:t xml:space="preserve">Export to Excel</w:t>
      </w:r>
    </w:p>
    <w:p>
      <w:pPr>
        <w:spacing w:after="160"/>
      </w:pPr>
    </w:p>
    <w:p>
      <w:pPr>
        <w:pStyle w:val="Heading2"/>
        <w:spacing w:after="140" w:before="340"/>
      </w:pPr>
      <w:r>
        <w:rPr>
          <w:rFonts w:ascii="Calibri" w:cs="Calibri" w:eastAsia="Calibri" w:hAnsi="Calibri"/>
          <w:b/>
          <w:bCs/>
          <w:color w:val="0B2A5E"/>
          <w:sz w:val="26"/>
          <w:szCs w:val="26"/>
        </w:rPr>
        <w:t xml:space="preserve">4.3 Income statement</w:t>
      </w:r>
    </w:p>
    <w:p>
      <w:pPr>
        <w:pStyle w:val="Heading3"/>
        <w:spacing w:after="100" w:before="220"/>
      </w:pPr>
      <w:r>
        <w:rPr>
          <w:rFonts w:ascii="Calibri" w:cs="Calibri" w:eastAsia="Calibri" w:hAnsi="Calibri"/>
          <w:b/>
          <w:bCs/>
          <w:color w:val="1F2937"/>
          <w:sz w:val="22"/>
          <w:szCs w:val="22"/>
        </w:rPr>
        <w:t xml:space="preserve">Income statement</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Financial Report → Income statement</w:t>
      </w:r>
    </w:p>
    <w:p>
      <w:pPr>
        <w:spacing w:after="140" w:line="276"/>
        <w:jc w:val="both"/>
      </w:pPr>
      <w:r>
        <w:rPr>
          <w:rFonts w:ascii="Calibri" w:cs="Calibri" w:eastAsia="Calibri" w:hAnsi="Calibri"/>
          <w:color w:val="1F2937"/>
          <w:sz w:val="21"/>
          <w:szCs w:val="21"/>
        </w:rPr>
        <w:t xml:space="preserve">Revenue less Expenses, with Net income or loss, over a period you choose.</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Branch filter; a Period selector — Monthly, Quarterly, Annual, or a Custom date range.</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Print</w:t>
      </w:r>
    </w:p>
    <w:p>
      <w:pPr>
        <w:pStyle w:val="ListParagraph"/>
        <w:numPr>
          <w:ilvl w:val="0"/>
          <w:numId w:val="2"/>
        </w:numPr>
        <w:spacing w:after="90" w:line="270"/>
        <w:jc w:val="both"/>
      </w:pPr>
      <w:r>
        <w:rPr>
          <w:rFonts w:ascii="Calibri" w:cs="Calibri" w:eastAsia="Calibri" w:hAnsi="Calibri"/>
          <w:color w:val="1F2937"/>
          <w:sz w:val="21"/>
          <w:szCs w:val="21"/>
        </w:rPr>
        <w:t xml:space="preserve">Export to Excel</w:t>
      </w:r>
    </w:p>
    <w:p>
      <w:pPr>
        <w:spacing w:after="160"/>
      </w:pPr>
    </w:p>
    <w:p>
      <w:pPr>
        <w:pStyle w:val="Heading2"/>
        <w:spacing w:after="140" w:before="340"/>
      </w:pPr>
      <w:r>
        <w:rPr>
          <w:rFonts w:ascii="Calibri" w:cs="Calibri" w:eastAsia="Calibri" w:hAnsi="Calibri"/>
          <w:b/>
          <w:bCs/>
          <w:color w:val="0B2A5E"/>
          <w:sz w:val="26"/>
          <w:szCs w:val="26"/>
        </w:rPr>
        <w:t xml:space="preserve">4.4 Equity statement</w:t>
      </w:r>
    </w:p>
    <w:p>
      <w:pPr>
        <w:pStyle w:val="Heading3"/>
        <w:spacing w:after="100" w:before="220"/>
      </w:pPr>
      <w:r>
        <w:rPr>
          <w:rFonts w:ascii="Calibri" w:cs="Calibri" w:eastAsia="Calibri" w:hAnsi="Calibri"/>
          <w:b/>
          <w:bCs/>
          <w:color w:val="1F2937"/>
          <w:sz w:val="22"/>
          <w:szCs w:val="22"/>
        </w:rPr>
        <w:t xml:space="preserve">Equity statement</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Financial Report → Equity statement</w:t>
      </w:r>
    </w:p>
    <w:p>
      <w:pPr>
        <w:spacing w:after="140" w:line="276"/>
        <w:jc w:val="both"/>
      </w:pPr>
      <w:r>
        <w:rPr>
          <w:rFonts w:ascii="Calibri" w:cs="Calibri" w:eastAsia="Calibri" w:hAnsi="Calibri"/>
          <w:color w:val="1F2937"/>
          <w:sz w:val="21"/>
          <w:szCs w:val="21"/>
        </w:rPr>
        <w:t xml:space="preserve">How equity moved over a period: beginning balance, net income or loss, contributions or drawings, and the ending balance.</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Branch filter; From/To date range.</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Print</w:t>
      </w:r>
    </w:p>
    <w:p>
      <w:pPr>
        <w:pStyle w:val="ListParagraph"/>
        <w:numPr>
          <w:ilvl w:val="0"/>
          <w:numId w:val="2"/>
        </w:numPr>
        <w:spacing w:after="90" w:line="270"/>
        <w:jc w:val="both"/>
      </w:pPr>
      <w:r>
        <w:rPr>
          <w:rFonts w:ascii="Calibri" w:cs="Calibri" w:eastAsia="Calibri" w:hAnsi="Calibri"/>
          <w:color w:val="1F2937"/>
          <w:sz w:val="21"/>
          <w:szCs w:val="21"/>
        </w:rPr>
        <w:t xml:space="preserve">Export to Excel</w:t>
      </w:r>
    </w:p>
    <w:p>
      <w:pPr>
        <w:spacing w:after="160"/>
      </w:pPr>
    </w:p>
    <w:p>
      <w:pPr>
        <w:pStyle w:val="Heading2"/>
        <w:spacing w:after="140" w:before="340"/>
      </w:pPr>
      <w:r>
        <w:rPr>
          <w:rFonts w:ascii="Calibri" w:cs="Calibri" w:eastAsia="Calibri" w:hAnsi="Calibri"/>
          <w:b/>
          <w:bCs/>
          <w:color w:val="0B2A5E"/>
          <w:sz w:val="26"/>
          <w:szCs w:val="26"/>
        </w:rPr>
        <w:t xml:space="preserve">4.5 Cash flow statement</w:t>
      </w:r>
    </w:p>
    <w:p>
      <w:pPr>
        <w:pStyle w:val="Heading3"/>
        <w:spacing w:after="100" w:before="220"/>
      </w:pPr>
      <w:r>
        <w:rPr>
          <w:rFonts w:ascii="Calibri" w:cs="Calibri" w:eastAsia="Calibri" w:hAnsi="Calibri"/>
          <w:b/>
          <w:bCs/>
          <w:color w:val="1F2937"/>
          <w:sz w:val="22"/>
          <w:szCs w:val="22"/>
        </w:rPr>
        <w:t xml:space="preserve">Cash flow statement</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Financial Report → Cash flow statement</w:t>
      </w:r>
    </w:p>
    <w:p>
      <w:pPr>
        <w:spacing w:after="140" w:line="276"/>
        <w:jc w:val="both"/>
      </w:pPr>
      <w:r>
        <w:rPr>
          <w:rFonts w:ascii="Calibri" w:cs="Calibri" w:eastAsia="Calibri" w:hAnsi="Calibri"/>
          <w:color w:val="1F2937"/>
          <w:sz w:val="21"/>
          <w:szCs w:val="21"/>
        </w:rPr>
        <w:t xml:space="preserve">Where cash came from and went, indirect method — operating, investing, and financing activities.</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Branch filter; Period selector (Monthly / Quarterly / Annual / Custom).</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Print</w:t>
      </w:r>
    </w:p>
    <w:p>
      <w:pPr>
        <w:pStyle w:val="ListParagraph"/>
        <w:numPr>
          <w:ilvl w:val="0"/>
          <w:numId w:val="2"/>
        </w:numPr>
        <w:spacing w:after="90" w:line="270"/>
        <w:jc w:val="both"/>
      </w:pPr>
      <w:r>
        <w:rPr>
          <w:rFonts w:ascii="Calibri" w:cs="Calibri" w:eastAsia="Calibri" w:hAnsi="Calibri"/>
          <w:color w:val="1F2937"/>
          <w:sz w:val="21"/>
          <w:szCs w:val="21"/>
        </w:rPr>
        <w:t xml:space="preserve">Export to Excel</w:t>
      </w:r>
    </w:p>
    <w:p>
      <w:pPr>
        <w:spacing w:after="160"/>
      </w:pPr>
    </w:p>
    <w:p>
      <w:pPr>
        <w:pStyle w:val="Heading2"/>
        <w:spacing w:after="140" w:before="340"/>
      </w:pPr>
      <w:r>
        <w:rPr>
          <w:rFonts w:ascii="Calibri" w:cs="Calibri" w:eastAsia="Calibri" w:hAnsi="Calibri"/>
          <w:b/>
          <w:bCs/>
          <w:color w:val="0B2A5E"/>
          <w:sz w:val="26"/>
          <w:szCs w:val="26"/>
        </w:rPr>
        <w:t xml:space="preserve">4.6 Debtors' / creditors' ledger</w:t>
      </w:r>
    </w:p>
    <w:p>
      <w:pPr>
        <w:pStyle w:val="Heading3"/>
        <w:spacing w:after="100" w:before="220"/>
      </w:pPr>
      <w:r>
        <w:rPr>
          <w:rFonts w:ascii="Calibri" w:cs="Calibri" w:eastAsia="Calibri" w:hAnsi="Calibri"/>
          <w:b/>
          <w:bCs/>
          <w:color w:val="1F2937"/>
          <w:sz w:val="22"/>
          <w:szCs w:val="22"/>
        </w:rPr>
        <w:t xml:space="preserve">Debtors' / creditors' ledger</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Financial Report → Debtors' / creditors' ledger</w:t>
      </w:r>
    </w:p>
    <w:p>
      <w:pPr>
        <w:spacing w:after="140" w:line="276"/>
        <w:jc w:val="both"/>
      </w:pPr>
      <w:r>
        <w:rPr>
          <w:rFonts w:ascii="Calibri" w:cs="Calibri" w:eastAsia="Calibri" w:hAnsi="Calibri"/>
          <w:color w:val="1F2937"/>
          <w:sz w:val="21"/>
          <w:szCs w:val="21"/>
        </w:rPr>
        <w:t xml:space="preserve">One customer's or one vendor's full Accounts Receivable / Payable movement history — every transaction that affected what they owe you, or you owe them.</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A Type switch (Customer / Vendor), a party picker, Branch filter, and a From/To date range. Shows a Beginning balance, every movement, and an Ending balance.</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Print</w:t>
      </w:r>
    </w:p>
    <w:p>
      <w:pPr>
        <w:pStyle w:val="ListParagraph"/>
        <w:numPr>
          <w:ilvl w:val="0"/>
          <w:numId w:val="2"/>
        </w:numPr>
        <w:spacing w:after="90" w:line="270"/>
        <w:jc w:val="both"/>
      </w:pPr>
      <w:r>
        <w:rPr>
          <w:rFonts w:ascii="Calibri" w:cs="Calibri" w:eastAsia="Calibri" w:hAnsi="Calibri"/>
          <w:color w:val="1F2937"/>
          <w:sz w:val="21"/>
          <w:szCs w:val="21"/>
        </w:rPr>
        <w:t xml:space="preserve">Export to Excel</w:t>
      </w:r>
    </w:p>
    <w:p>
      <w:pPr>
        <w:spacing w:after="160"/>
      </w:pPr>
    </w:p>
    <w:p>
      <w:pPr>
        <w:pStyle w:val="Heading2"/>
        <w:spacing w:after="140" w:before="340"/>
      </w:pPr>
      <w:r>
        <w:rPr>
          <w:rFonts w:ascii="Calibri" w:cs="Calibri" w:eastAsia="Calibri" w:hAnsi="Calibri"/>
          <w:b/>
          <w:bCs/>
          <w:color w:val="0B2A5E"/>
          <w:sz w:val="26"/>
          <w:szCs w:val="26"/>
        </w:rPr>
        <w:t xml:space="preserve">4.7 General ledger</w:t>
      </w:r>
    </w:p>
    <w:p>
      <w:pPr>
        <w:pStyle w:val="Heading3"/>
        <w:spacing w:after="100" w:before="220"/>
      </w:pPr>
      <w:r>
        <w:rPr>
          <w:rFonts w:ascii="Calibri" w:cs="Calibri" w:eastAsia="Calibri" w:hAnsi="Calibri"/>
          <w:b/>
          <w:bCs/>
          <w:color w:val="1F2937"/>
          <w:sz w:val="22"/>
          <w:szCs w:val="22"/>
        </w:rPr>
        <w:t xml:space="preserve">General ledger</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Financial Report → General ledger</w:t>
      </w:r>
    </w:p>
    <w:p>
      <w:pPr>
        <w:spacing w:after="140" w:line="276"/>
        <w:jc w:val="both"/>
      </w:pPr>
      <w:r>
        <w:rPr>
          <w:rFonts w:ascii="Calibri" w:cs="Calibri" w:eastAsia="Calibri" w:hAnsi="Calibri"/>
          <w:color w:val="1F2937"/>
          <w:sz w:val="21"/>
          <w:szCs w:val="21"/>
        </w:rPr>
        <w:t xml:space="preserve">Every posted line for one account you pick, in date order, with a running balance.</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Branch filter; an Account picker; From/To date range.</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Print</w:t>
      </w:r>
    </w:p>
    <w:p>
      <w:pPr>
        <w:pStyle w:val="ListParagraph"/>
        <w:numPr>
          <w:ilvl w:val="0"/>
          <w:numId w:val="2"/>
        </w:numPr>
        <w:spacing w:after="90" w:line="270"/>
        <w:jc w:val="both"/>
      </w:pPr>
      <w:r>
        <w:rPr>
          <w:rFonts w:ascii="Calibri" w:cs="Calibri" w:eastAsia="Calibri" w:hAnsi="Calibri"/>
          <w:color w:val="1F2937"/>
          <w:sz w:val="21"/>
          <w:szCs w:val="21"/>
        </w:rPr>
        <w:t xml:space="preserve">Export to Excel</w:t>
      </w:r>
    </w:p>
    <w:p>
      <w:pPr>
        <w:spacing w:after="160"/>
      </w:pPr>
    </w:p>
    <w:p>
      <w:pPr>
        <w:pStyle w:val="Heading2"/>
        <w:spacing w:after="140" w:before="340"/>
      </w:pPr>
      <w:r>
        <w:rPr>
          <w:rFonts w:ascii="Calibri" w:cs="Calibri" w:eastAsia="Calibri" w:hAnsi="Calibri"/>
          <w:b/>
          <w:bCs/>
          <w:color w:val="0B2A5E"/>
          <w:sz w:val="26"/>
          <w:szCs w:val="26"/>
        </w:rPr>
        <w:t xml:space="preserve">4.8 Customer balance summary</w:t>
      </w:r>
    </w:p>
    <w:p>
      <w:pPr>
        <w:pStyle w:val="Heading3"/>
        <w:spacing w:after="100" w:before="220"/>
      </w:pPr>
      <w:r>
        <w:rPr>
          <w:rFonts w:ascii="Calibri" w:cs="Calibri" w:eastAsia="Calibri" w:hAnsi="Calibri"/>
          <w:b/>
          <w:bCs/>
          <w:color w:val="1F2937"/>
          <w:sz w:val="22"/>
          <w:szCs w:val="22"/>
        </w:rPr>
        <w:t xml:space="preserve">Customer balance summary</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Financial Report → Customer balance summary</w:t>
      </w:r>
    </w:p>
    <w:p>
      <w:pPr>
        <w:spacing w:after="140" w:line="276"/>
        <w:jc w:val="both"/>
      </w:pPr>
      <w:r>
        <w:rPr>
          <w:rFonts w:ascii="Calibri" w:cs="Calibri" w:eastAsia="Calibri" w:hAnsi="Calibri"/>
          <w:color w:val="1F2937"/>
          <w:sz w:val="21"/>
          <w:szCs w:val="21"/>
        </w:rPr>
        <w:t xml:space="preserve">Every customer's current open (unpaid) Accounts Receivable balance, in one list — this is your AR aging at a glance.</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An optional From/To date range narrows which invoices are included (leave both blank for "All Dates"); a Clear link resets it.</w:t>
      </w:r>
    </w:p>
    <w:p>
      <w:pPr>
        <w:pStyle w:val="ListParagraph"/>
        <w:numPr>
          <w:ilvl w:val="0"/>
          <w:numId w:val="2"/>
        </w:numPr>
        <w:spacing w:after="90" w:line="270"/>
        <w:jc w:val="both"/>
      </w:pPr>
      <w:r>
        <w:rPr>
          <w:rFonts w:ascii="Calibri" w:cs="Calibri" w:eastAsia="Calibri" w:hAnsi="Calibri"/>
          <w:color w:val="1F2937"/>
          <w:sz w:val="21"/>
          <w:szCs w:val="21"/>
        </w:rPr>
        <w:t xml:space="preserve">Click any customer's total to drill into their open invoices and credit notes, with a running balance.</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Detail report — opens a single continuous document listing every customer with a balance, grouped with their own open items and a subtotal, followed by a grand total.</w:t>
      </w:r>
    </w:p>
    <w:p>
      <w:pPr>
        <w:pStyle w:val="ListParagraph"/>
        <w:numPr>
          <w:ilvl w:val="0"/>
          <w:numId w:val="2"/>
        </w:numPr>
        <w:spacing w:after="90" w:line="270"/>
        <w:jc w:val="both"/>
      </w:pPr>
      <w:r>
        <w:rPr>
          <w:rFonts w:ascii="Calibri" w:cs="Calibri" w:eastAsia="Calibri" w:hAnsi="Calibri"/>
          <w:color w:val="1F2937"/>
          <w:sz w:val="21"/>
          <w:szCs w:val="21"/>
        </w:rPr>
        <w:t xml:space="preserve">Print and Export to Excel are available on the summary, the per-customer drill-down, and the company-wide Detail report.</w:t>
      </w:r>
    </w:p>
    <w:p>
      <w:pPr>
        <w:spacing w:after="160"/>
      </w:pPr>
    </w:p>
    <w:p>
      <w:pPr>
        <w:pStyle w:val="Heading2"/>
        <w:spacing w:after="140" w:before="340"/>
      </w:pPr>
      <w:r>
        <w:rPr>
          <w:rFonts w:ascii="Calibri" w:cs="Calibri" w:eastAsia="Calibri" w:hAnsi="Calibri"/>
          <w:b/>
          <w:bCs/>
          <w:color w:val="0B2A5E"/>
          <w:sz w:val="26"/>
          <w:szCs w:val="26"/>
        </w:rPr>
        <w:t xml:space="preserve">4.9 Vendor balance summary</w:t>
      </w:r>
    </w:p>
    <w:p>
      <w:pPr>
        <w:spacing w:after="140" w:line="276"/>
        <w:jc w:val="both"/>
      </w:pPr>
      <w:r>
        <w:rPr>
          <w:rFonts w:ascii="Calibri" w:cs="Calibri" w:eastAsia="Calibri" w:hAnsi="Calibri"/>
          <w:color w:val="1F2937"/>
          <w:sz w:val="21"/>
          <w:szCs w:val="21"/>
        </w:rPr>
        <w:t xml:space="preserve">The exact mirror of Customer balance summary, for what your company owes: every vendor's open Accounts Payable balance, the same date-range filter, a per-vendor drill-down into open bills and credit notes, and a company-wide Detail report. Found at Financial Report → Vendor balance summary.</w:t>
      </w: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5. BIR Reports</w:t>
      </w:r>
    </w:p>
    <w:p>
      <w:pPr>
        <w:spacing w:after="140" w:line="276"/>
        <w:jc w:val="both"/>
      </w:pPr>
      <w:r>
        <w:rPr>
          <w:rFonts w:ascii="Calibri" w:cs="Calibri" w:eastAsia="Calibri" w:hAnsi="Calibri"/>
          <w:color w:val="1F2937"/>
          <w:sz w:val="21"/>
          <w:szCs w:val="21"/>
        </w:rPr>
        <w:t xml:space="preserve">This is where ARbixo turns your posted transactions into the figures and files you need for BIR compliance. Treat these as a strong head start, not a final filing — always review the numbers before you submit anything to the BIR.</w:t>
      </w:r>
    </w:p>
    <w:p>
      <w:pPr>
        <w:pStyle w:val="Heading2"/>
        <w:spacing w:after="140" w:before="340"/>
      </w:pPr>
      <w:r>
        <w:rPr>
          <w:rFonts w:ascii="Calibri" w:cs="Calibri" w:eastAsia="Calibri" w:hAnsi="Calibri"/>
          <w:b/>
          <w:bCs/>
          <w:color w:val="0B2A5E"/>
          <w:sz w:val="26"/>
          <w:szCs w:val="26"/>
        </w:rPr>
        <w:t xml:space="preserve">5.1 VAT Return</w:t>
      </w:r>
    </w:p>
    <w:p>
      <w:pPr>
        <w:pStyle w:val="Heading3"/>
        <w:spacing w:after="100" w:before="220"/>
      </w:pPr>
      <w:r>
        <w:rPr>
          <w:rFonts w:ascii="Calibri" w:cs="Calibri" w:eastAsia="Calibri" w:hAnsi="Calibri"/>
          <w:b/>
          <w:bCs/>
          <w:color w:val="1F2937"/>
          <w:sz w:val="22"/>
          <w:szCs w:val="22"/>
        </w:rPr>
        <w:t xml:space="preserve">VAT Return</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BIR Reports → VAT Return</w:t>
      </w:r>
    </w:p>
    <w:p>
      <w:pPr>
        <w:spacing w:after="140" w:line="276"/>
        <w:jc w:val="both"/>
      </w:pPr>
      <w:r>
        <w:rPr>
          <w:rFonts w:ascii="Calibri" w:cs="Calibri" w:eastAsia="Calibri" w:hAnsi="Calibri"/>
          <w:color w:val="1F2937"/>
          <w:sz w:val="21"/>
          <w:szCs w:val="21"/>
        </w:rPr>
        <w:t xml:space="preserve">Mirrors BIR Form 2550Q, Part IV (Details of VAT Computation). Sales and purchase figures are pulled automatically from your posted entries; a few adjustment lines (like a VAT refund claimed) are entered manually.</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Period selector (defaults to Quarterly); Branch filter. Your company's TIN and Registered Name are shown for reference.</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Print</w:t>
      </w:r>
    </w:p>
    <w:p>
      <w:pPr>
        <w:pStyle w:val="ListParagraph"/>
        <w:numPr>
          <w:ilvl w:val="0"/>
          <w:numId w:val="2"/>
        </w:numPr>
        <w:spacing w:after="90" w:line="270"/>
        <w:jc w:val="both"/>
      </w:pPr>
      <w:r>
        <w:rPr>
          <w:rFonts w:ascii="Calibri" w:cs="Calibri" w:eastAsia="Calibri" w:hAnsi="Calibri"/>
          <w:color w:val="1F2937"/>
          <w:sz w:val="21"/>
          <w:szCs w:val="21"/>
        </w:rPr>
        <w:t xml:space="preserve">Export to Excel</w:t>
      </w:r>
    </w:p>
    <w:p>
      <w:pPr>
        <w:spacing w:after="160"/>
      </w:pPr>
    </w:p>
    <w:p>
      <w:pPr>
        <w:pStyle w:val="Heading2"/>
        <w:spacing w:after="140" w:before="340"/>
      </w:pPr>
      <w:r>
        <w:rPr>
          <w:rFonts w:ascii="Calibri" w:cs="Calibri" w:eastAsia="Calibri" w:hAnsi="Calibri"/>
          <w:b/>
          <w:bCs/>
          <w:color w:val="0B2A5E"/>
          <w:sz w:val="26"/>
          <w:szCs w:val="26"/>
        </w:rPr>
        <w:t xml:space="preserve">5.2 Expanded Withholding Tax</w:t>
      </w:r>
    </w:p>
    <w:p>
      <w:pPr>
        <w:pStyle w:val="Heading3"/>
        <w:spacing w:after="100" w:before="220"/>
      </w:pPr>
      <w:r>
        <w:rPr>
          <w:rFonts w:ascii="Calibri" w:cs="Calibri" w:eastAsia="Calibri" w:hAnsi="Calibri"/>
          <w:b/>
          <w:bCs/>
          <w:color w:val="1F2937"/>
          <w:sz w:val="22"/>
          <w:szCs w:val="22"/>
        </w:rPr>
        <w:t xml:space="preserve">Expanded Withholding Tax</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BIR Reports → Expanded Withholding Tax</w:t>
      </w:r>
    </w:p>
    <w:p>
      <w:pPr>
        <w:spacing w:after="140" w:line="276"/>
        <w:jc w:val="both"/>
      </w:pPr>
      <w:r>
        <w:rPr>
          <w:rFonts w:ascii="Calibri" w:cs="Calibri" w:eastAsia="Calibri" w:hAnsi="Calibri"/>
          <w:color w:val="1F2937"/>
          <w:sz w:val="21"/>
          <w:szCs w:val="21"/>
        </w:rPr>
        <w:t xml:space="preserve">Mirrors BIR Form 1601-EQ. Tax withheld is computed from your posted Purchase on Account and Cash Disbursement entries, broken down per withholding (ATC) code; remittances and penalties are entered manually.</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Period selector; Branch filter.</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Print</w:t>
      </w:r>
    </w:p>
    <w:p>
      <w:pPr>
        <w:pStyle w:val="ListParagraph"/>
        <w:numPr>
          <w:ilvl w:val="0"/>
          <w:numId w:val="2"/>
        </w:numPr>
        <w:spacing w:after="90" w:line="270"/>
        <w:jc w:val="both"/>
      </w:pPr>
      <w:r>
        <w:rPr>
          <w:rFonts w:ascii="Calibri" w:cs="Calibri" w:eastAsia="Calibri" w:hAnsi="Calibri"/>
          <w:color w:val="1F2937"/>
          <w:sz w:val="21"/>
          <w:szCs w:val="21"/>
        </w:rPr>
        <w:t xml:space="preserve">Export to Excel</w:t>
      </w:r>
    </w:p>
    <w:p>
      <w:pPr>
        <w:spacing w:after="160"/>
      </w:pPr>
    </w:p>
    <w:p>
      <w:pPr>
        <w:pStyle w:val="Heading2"/>
        <w:spacing w:after="140" w:before="340"/>
      </w:pPr>
      <w:r>
        <w:rPr>
          <w:rFonts w:ascii="Calibri" w:cs="Calibri" w:eastAsia="Calibri" w:hAnsi="Calibri"/>
          <w:b/>
          <w:bCs/>
          <w:color w:val="0B2A5E"/>
          <w:sz w:val="26"/>
          <w:szCs w:val="26"/>
        </w:rPr>
        <w:t xml:space="preserve">5.3 Certificate of Tax Withheld (2307)</w:t>
      </w:r>
    </w:p>
    <w:p>
      <w:pPr>
        <w:pStyle w:val="Heading3"/>
        <w:spacing w:after="100" w:before="220"/>
      </w:pPr>
      <w:r>
        <w:rPr>
          <w:rFonts w:ascii="Calibri" w:cs="Calibri" w:eastAsia="Calibri" w:hAnsi="Calibri"/>
          <w:b/>
          <w:bCs/>
          <w:color w:val="1F2937"/>
          <w:sz w:val="22"/>
          <w:szCs w:val="22"/>
        </w:rPr>
        <w:t xml:space="preserve">Certificate of Tax Withheld (2307)</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BIR Reports → Certificate of Tax Withheld (2307)</w:t>
      </w:r>
    </w:p>
    <w:p>
      <w:pPr>
        <w:spacing w:after="140" w:line="276"/>
        <w:jc w:val="both"/>
      </w:pPr>
      <w:r>
        <w:rPr>
          <w:rFonts w:ascii="Calibri" w:cs="Calibri" w:eastAsia="Calibri" w:hAnsi="Calibri"/>
          <w:color w:val="1F2937"/>
          <w:sz w:val="21"/>
          <w:szCs w:val="21"/>
        </w:rPr>
        <w:t xml:space="preserve">Generates the actual BIR Form 2307 certificate for each payee you withheld tax from during the period — one certificate per payee per ATC code, split across the quarter's three months.</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Period selector (defaults to Quarterly); Branch filter.</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"Print all" produces a single stamped PDF of every certificate for the period.</w:t>
      </w:r>
    </w:p>
    <w:p>
      <w:pPr>
        <w:pStyle w:val="ListParagraph"/>
        <w:numPr>
          <w:ilvl w:val="0"/>
          <w:numId w:val="2"/>
        </w:numPr>
        <w:spacing w:after="90" w:line="270"/>
        <w:jc w:val="both"/>
      </w:pPr>
      <w:r>
        <w:rPr>
          <w:rFonts w:ascii="Calibri" w:cs="Calibri" w:eastAsia="Calibri" w:hAnsi="Calibri"/>
          <w:color w:val="1F2937"/>
          <w:sz w:val="21"/>
          <w:szCs w:val="21"/>
        </w:rPr>
        <w:t xml:space="preserve">Each payee's row also has its own "Print 2307" button, for handing a certificate to just that one payee.</w:t>
      </w:r>
    </w:p>
    <w:p>
      <w:pPr>
        <w:pStyle w:val="ListParagraph"/>
        <w:numPr>
          <w:ilvl w:val="0"/>
          <w:numId w:val="2"/>
        </w:numPr>
        <w:spacing w:after="90" w:line="270"/>
        <w:jc w:val="both"/>
      </w:pPr>
      <w:r>
        <w:rPr>
          <w:rFonts w:ascii="Calibri" w:cs="Calibri" w:eastAsia="Calibri" w:hAnsi="Calibri"/>
          <w:color w:val="1F2937"/>
          <w:sz w:val="21"/>
          <w:szCs w:val="21"/>
        </w:rPr>
        <w:t xml:space="preserve">Export to Excel.</w:t>
      </w:r>
    </w:p>
    <w:p>
      <w:pPr>
        <w:spacing w:after="160"/>
      </w:pPr>
    </w:p>
    <w:p>
      <w:pPr>
        <w:pStyle w:val="Heading2"/>
        <w:spacing w:after="140" w:before="340"/>
      </w:pPr>
      <w:r>
        <w:rPr>
          <w:rFonts w:ascii="Calibri" w:cs="Calibri" w:eastAsia="Calibri" w:hAnsi="Calibri"/>
          <w:b/>
          <w:bCs/>
          <w:color w:val="0B2A5E"/>
          <w:sz w:val="26"/>
          <w:szCs w:val="26"/>
        </w:rPr>
        <w:t xml:space="preserve">5.4 Relief Files: SLS, SLP, SLI, QAP, SAWT</w:t>
      </w:r>
    </w:p>
    <w:p>
      <w:pPr>
        <w:spacing w:after="140" w:line="276"/>
        <w:jc w:val="both"/>
      </w:pPr>
      <w:r>
        <w:rPr>
          <w:rFonts w:ascii="Calibri" w:cs="Calibri" w:eastAsia="Calibri" w:hAnsi="Calibri"/>
          <w:color w:val="1F2937"/>
          <w:sz w:val="21"/>
          <w:szCs w:val="21"/>
        </w:rPr>
        <w:t xml:space="preserve">These five reports, grouped under "Relief Files," are built specifically for BIR's RELIEF/eSubmission system — each one exports an official ".DAT" text file, laid out exactly the way BIR's data-entry and validation module expects it, ready for direct upload. The Excel export on each screen is just a human-readable copy of the same data for your own review.</w:t>
      </w:r>
    </w:p>
    <w:tbl>
      <w:tblPr>
        <w:tblW w:type="dxa" w:w="9800"/>
        <w:tblBorders>
          <w:top w:val="single" w:color="D1D5DB" w:sz="4"/>
          <w:left w:val="single" w:color="D1D5DB" w:sz="4"/>
          <w:bottom w:val="single" w:color="D1D5DB" w:sz="4"/>
          <w:right w:val="single" w:color="D1D5DB" w:sz="4"/>
          <w:insideH w:val="single" w:color="D1D5DB" w:sz="2"/>
          <w:insideV w:val="single" w:color="D1D5DB" w:sz="2"/>
        </w:tblBorders>
      </w:tblPr>
      <w:tblGrid>
        <w:gridCol w:w="2400"/>
        <w:gridCol w:w="5600"/>
        <w:gridCol w:w="1800"/>
      </w:tblGrid>
      <w:tr>
        <w:trPr>
          <w:tblHeader/>
        </w:trPr>
        <w:tc>
          <w:tcPr>
            <w:tcW w:type="dxa" w:w="2400"/>
            <w:shd w:fill="0B2A5E"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Report</w:t>
            </w:r>
          </w:p>
        </w:tc>
        <w:tc>
          <w:tcPr>
            <w:tcW w:type="dxa" w:w="5600"/>
            <w:shd w:fill="0B2A5E"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What it lists</w:t>
            </w:r>
          </w:p>
        </w:tc>
        <w:tc>
          <w:tcPr>
            <w:tcW w:type="dxa" w:w="1800"/>
            <w:shd w:fill="0B2A5E"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Feeds BIR form</w:t>
            </w:r>
          </w:p>
        </w:tc>
      </w:tr>
      <w:tr>
        <w:tc>
          <w:tcPr>
            <w:tcW w:type="dxa" w:w="24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Summary List of Sales (SLS)</w:t>
            </w:r>
          </w:p>
        </w:tc>
        <w:tc>
          <w:tcPr>
            <w:tcW w:type="dxa" w:w="56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Every customer you sold to in the period, with exempt/zero-rated/taxable sales and output tax</w:t>
            </w:r>
          </w:p>
        </w:tc>
        <w:tc>
          <w:tcPr>
            <w:tcW w:type="dxa" w:w="18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2550Q attachment</w:t>
            </w:r>
          </w:p>
        </w:tc>
      </w:tr>
      <w:tr>
        <w:tc>
          <w:tcPr>
            <w:tcW w:type="dxa" w:w="24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Summary List of Purchases (SLP)</w:t>
            </w:r>
          </w:p>
        </w:tc>
        <w:tc>
          <w:tcPr>
            <w:tcW w:type="dxa" w:w="56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Every supplier you bought from, split into goods/services/capital goods, with input tax</w:t>
            </w:r>
          </w:p>
        </w:tc>
        <w:tc>
          <w:tcPr>
            <w:tcW w:type="dxa" w:w="18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2550Q attachment</w:t>
            </w:r>
          </w:p>
        </w:tc>
      </w:tr>
      <w:tr>
        <w:tc>
          <w:tcPr>
            <w:tcW w:type="dxa" w:w="24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Summary List of Importations (SLI)</w:t>
            </w:r>
          </w:p>
        </w:tc>
        <w:tc>
          <w:tcPr>
            <w:tcW w:type="dxa" w:w="56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Every recorded importation, with dutiable value, charges, and VAT</w:t>
            </w:r>
          </w:p>
        </w:tc>
        <w:tc>
          <w:tcPr>
            <w:tcW w:type="dxa" w:w="18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2550Q attachment</w:t>
            </w:r>
          </w:p>
        </w:tc>
      </w:tr>
      <w:tr>
        <w:tc>
          <w:tcPr>
            <w:tcW w:type="dxa" w:w="24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Quarterly Alphalist of Payees (QAP)</w:t>
            </w:r>
          </w:p>
        </w:tc>
        <w:tc>
          <w:tcPr>
            <w:tcW w:type="dxa" w:w="56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Payees you withheld expanded withholding tax FROM, per ATC code</w:t>
            </w:r>
          </w:p>
        </w:tc>
        <w:tc>
          <w:tcPr>
            <w:tcW w:type="dxa" w:w="18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1601-EQ attachment</w:t>
            </w:r>
          </w:p>
        </w:tc>
      </w:tr>
      <w:tr>
        <w:tc>
          <w:tcPr>
            <w:tcW w:type="dxa" w:w="24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Summary Alphalist of Withholding Taxes (SAWT)</w:t>
            </w:r>
          </w:p>
        </w:tc>
        <w:tc>
          <w:tcPr>
            <w:tcW w:type="dxa" w:w="56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The reverse of QAP — tax your own customers withheld FROM you, evidenced by 2307s you received</w:t>
            </w:r>
          </w:p>
        </w:tc>
        <w:tc>
          <w:tcPr>
            <w:tcW w:type="dxa" w:w="18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Income tax return attachment</w:t>
            </w:r>
          </w:p>
        </w:tc>
      </w:tr>
    </w:tbl>
    <w:p>
      <w:pPr>
        <w:spacing w:after="160"/>
      </w:pPr>
    </w:p>
    <w:p>
      <w:pPr>
        <w:pStyle w:val="ListParagraph"/>
        <w:numPr>
          <w:ilvl w:val="0"/>
          <w:numId w:val="2"/>
        </w:numPr>
        <w:spacing w:after="90" w:line="270"/>
        <w:jc w:val="both"/>
      </w:pPr>
      <w:r>
        <w:rPr>
          <w:rFonts w:ascii="Calibri" w:cs="Calibri" w:eastAsia="Calibri" w:hAnsi="Calibri"/>
          <w:color w:val="1F2937"/>
          <w:sz w:val="21"/>
          <w:szCs w:val="21"/>
        </w:rPr>
        <w:t xml:space="preserve">Each of the five has a Period selector (SLI and QAP/SAWT don't include a Branch filter) and three actions: Export BIR .DAT, Export to Excel, and Print.</w:t>
      </w: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6. Books of Accounts</w:t>
      </w:r>
    </w:p>
    <w:p>
      <w:pPr>
        <w:spacing w:after="140" w:line="276"/>
        <w:jc w:val="both"/>
      </w:pPr>
      <w:r>
        <w:rPr>
          <w:rFonts w:ascii="Calibri" w:cs="Calibri" w:eastAsia="Calibri" w:hAnsi="Calibri"/>
          <w:color w:val="1F2937"/>
          <w:sz w:val="21"/>
          <w:szCs w:val="21"/>
        </w:rPr>
        <w:t xml:space="preserve">Where Financial Report shows you summarized statements, Books of Accounts shows the traditional bound-book layouts your bookkeeper and accountant expect — organized by journal, printable in the format examiners are used to seeing.</w:t>
      </w:r>
    </w:p>
    <w:p>
      <w:pPr>
        <w:pStyle w:val="Heading2"/>
        <w:spacing w:after="140" w:before="340"/>
      </w:pPr>
      <w:r>
        <w:rPr>
          <w:rFonts w:ascii="Calibri" w:cs="Calibri" w:eastAsia="Calibri" w:hAnsi="Calibri"/>
          <w:b/>
          <w:bCs/>
          <w:color w:val="0B2A5E"/>
          <w:sz w:val="26"/>
          <w:szCs w:val="26"/>
        </w:rPr>
        <w:t xml:space="preserve">6.1 Cash Receipts Journal, Cash Disbursement Journal, General Journal</w:t>
      </w:r>
    </w:p>
    <w:p>
      <w:pPr>
        <w:spacing w:after="140" w:line="276"/>
        <w:jc w:val="both"/>
      </w:pPr>
      <w:r>
        <w:rPr>
          <w:rFonts w:ascii="Calibri" w:cs="Calibri" w:eastAsia="Calibri" w:hAnsi="Calibri"/>
          <w:color w:val="1F2937"/>
          <w:sz w:val="21"/>
          <w:szCs w:val="21"/>
        </w:rPr>
        <w:t xml:space="preserve">All three share the same layout: a chronological listing grouped by document, showing Date, Doc No., the party ("Received from", "Paid to", or "Party" depending on which book), Account, Debit, and Credit, with a grand total. Each has a Branch filter and a From/To date range (defaulting to month-to-date), and Print / Export to Excel.</w:t>
      </w:r>
    </w:p>
    <w:p>
      <w:pPr>
        <w:pStyle w:val="Heading2"/>
        <w:spacing w:after="140" w:before="340"/>
      </w:pPr>
      <w:r>
        <w:rPr>
          <w:rFonts w:ascii="Calibri" w:cs="Calibri" w:eastAsia="Calibri" w:hAnsi="Calibri"/>
          <w:b/>
          <w:bCs/>
          <w:color w:val="0B2A5E"/>
          <w:sz w:val="26"/>
          <w:szCs w:val="26"/>
        </w:rPr>
        <w:t xml:space="preserve">6.2 General Ledger</w:t>
      </w:r>
    </w:p>
    <w:p>
      <w:pPr>
        <w:spacing w:after="140" w:line="276"/>
        <w:jc w:val="both"/>
      </w:pPr>
      <w:r>
        <w:rPr>
          <w:rFonts w:ascii="Calibri" w:cs="Calibri" w:eastAsia="Calibri" w:hAnsi="Calibri"/>
          <w:color w:val="1F2937"/>
          <w:sz w:val="21"/>
          <w:szCs w:val="21"/>
        </w:rPr>
        <w:t xml:space="preserve">Every account's activity for the period you choose, each as its own mini-ledger — Code/Title, a Beginning balance, a table of Date, Doc No., journal abbreviation, Party, Debit, Credit, and running Balance, an ending balance per account, and a grand total for the whole period at the bottom. Branch filter and From/To dates; Print / Export to Excel.</w:t>
      </w:r>
    </w:p>
    <w:p>
      <w:pPr>
        <w:pStyle w:val="Heading2"/>
        <w:spacing w:after="140" w:before="340"/>
      </w:pPr>
      <w:r>
        <w:rPr>
          <w:rFonts w:ascii="Calibri" w:cs="Calibri" w:eastAsia="Calibri" w:hAnsi="Calibri"/>
          <w:b/>
          <w:bCs/>
          <w:color w:val="0B2A5E"/>
          <w:sz w:val="26"/>
          <w:szCs w:val="26"/>
        </w:rPr>
        <w:t xml:space="preserve">6.3 Sales Subsidiary Journal and Purchase Subsidiary Journal</w:t>
      </w:r>
    </w:p>
    <w:p>
      <w:pPr>
        <w:spacing w:after="140" w:line="276"/>
        <w:jc w:val="both"/>
      </w:pPr>
      <w:r>
        <w:rPr>
          <w:rFonts w:ascii="Calibri" w:cs="Calibri" w:eastAsia="Calibri" w:hAnsi="Calibri"/>
          <w:color w:val="1F2937"/>
          <w:sz w:val="21"/>
          <w:szCs w:val="21"/>
        </w:rPr>
        <w:t xml:space="preserve">BIR-formatted subsidiary ledgers, laid out to match what your accountant expects on paper — buyer/supplier name and address, invoice numbers, VAT registration number, the sales or purchase breakdown by VAT category, VAT amount, and cash-vs-account terms, with totals. Branch filter and From/To dates; Print / Export to Excel.</w:t>
      </w: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7. Master Data</w:t>
      </w:r>
    </w:p>
    <w:p>
      <w:pPr>
        <w:spacing w:after="140" w:line="276"/>
        <w:jc w:val="both"/>
      </w:pPr>
      <w:r>
        <w:rPr>
          <w:rFonts w:ascii="Calibri" w:cs="Calibri" w:eastAsia="Calibri" w:hAnsi="Calibri"/>
          <w:color w:val="1F2937"/>
          <w:sz w:val="21"/>
          <w:szCs w:val="21"/>
        </w:rPr>
        <w:t xml:space="preserve">Master Data is where you maintain the people and things your transactions reference: Customers, Vendors, Employees, Contacts, and Items.</w:t>
      </w:r>
    </w:p>
    <w:p>
      <w:pPr>
        <w:pStyle w:val="Heading2"/>
        <w:spacing w:after="140" w:before="340"/>
      </w:pPr>
      <w:r>
        <w:rPr>
          <w:rFonts w:ascii="Calibri" w:cs="Calibri" w:eastAsia="Calibri" w:hAnsi="Calibri"/>
          <w:b/>
          <w:bCs/>
          <w:color w:val="0B2A5E"/>
          <w:sz w:val="26"/>
          <w:szCs w:val="26"/>
        </w:rPr>
        <w:t xml:space="preserve">7.1 Customers, Vendors, Employees, Contacts</w:t>
      </w:r>
    </w:p>
    <w:p>
      <w:pPr>
        <w:spacing w:after="140" w:line="276"/>
        <w:jc w:val="both"/>
      </w:pPr>
      <w:r>
        <w:rPr>
          <w:rFonts w:ascii="Calibri" w:cs="Calibri" w:eastAsia="Calibri" w:hAnsi="Calibri"/>
          <w:color w:val="1F2937"/>
          <w:sz w:val="21"/>
          <w:szCs w:val="21"/>
        </w:rPr>
        <w:t xml:space="preserve">These four screens all work the same way — a list on the left, an edit form on the right.</w:t>
      </w:r>
    </w:p>
    <w:p>
      <w:pPr>
        <w:pStyle w:val="ListParagraph"/>
        <w:numPr>
          <w:ilvl w:val="0"/>
          <w:numId w:val="2"/>
        </w:numPr>
        <w:spacing w:after="90" w:line="270"/>
        <w:jc w:val="both"/>
      </w:pPr>
      <w:r>
        <w:rPr>
          <w:rFonts w:ascii="Calibri" w:cs="Calibri" w:eastAsia="Calibri" w:hAnsi="Calibri"/>
          <w:b/>
          <w:bCs/>
          <w:color w:val="1F2937"/>
          <w:sz w:val="21"/>
          <w:szCs w:val="21"/>
        </w:rPr>
        <w:t xml:space="preserve">Code — </w:t>
      </w:r>
      <w:r>
        <w:rPr>
          <w:rFonts w:ascii="Calibri" w:cs="Calibri" w:eastAsia="Calibri" w:hAnsi="Calibri"/>
          <w:color w:val="1F2937"/>
          <w:sz w:val="21"/>
          <w:szCs w:val="21"/>
        </w:rPr>
        <w:t xml:space="preserve">assigned automatically from your company's numbering setup (you'll see a live preview like CUST-0001), or switch to "Enter manually" if you need a specific code.</w:t>
      </w:r>
    </w:p>
    <w:p>
      <w:pPr>
        <w:pStyle w:val="ListParagraph"/>
        <w:numPr>
          <w:ilvl w:val="0"/>
          <w:numId w:val="2"/>
        </w:numPr>
        <w:spacing w:after="90" w:line="270"/>
        <w:jc w:val="both"/>
      </w:pPr>
      <w:r>
        <w:rPr>
          <w:rFonts w:ascii="Calibri" w:cs="Calibri" w:eastAsia="Calibri" w:hAnsi="Calibri"/>
          <w:b/>
          <w:bCs/>
          <w:color w:val="1F2937"/>
          <w:sz w:val="21"/>
          <w:szCs w:val="21"/>
        </w:rPr>
        <w:t xml:space="preserve">Tax classification — </w:t>
      </w:r>
      <w:r>
        <w:rPr>
          <w:rFonts w:ascii="Calibri" w:cs="Calibri" w:eastAsia="Calibri" w:hAnsi="Calibri"/>
          <w:color w:val="1F2937"/>
          <w:sz w:val="21"/>
          <w:szCs w:val="21"/>
        </w:rPr>
        <w:t xml:space="preserve">Individual or Non-Individual — this decides whether you fill in a Registered Name, or separate Last/First/Middle name fields.</w:t>
      </w:r>
    </w:p>
    <w:p>
      <w:pPr>
        <w:pStyle w:val="ListParagraph"/>
        <w:numPr>
          <w:ilvl w:val="0"/>
          <w:numId w:val="2"/>
        </w:numPr>
        <w:spacing w:after="90" w:line="270"/>
        <w:jc w:val="both"/>
      </w:pPr>
      <w:r>
        <w:rPr>
          <w:rFonts w:ascii="Calibri" w:cs="Calibri" w:eastAsia="Calibri" w:hAnsi="Calibri"/>
          <w:b/>
          <w:bCs/>
          <w:color w:val="1F2937"/>
          <w:sz w:val="21"/>
          <w:szCs w:val="21"/>
        </w:rPr>
        <w:t xml:space="preserve">Trade Name — </w:t>
      </w:r>
      <w:r>
        <w:rPr>
          <w:rFonts w:ascii="Calibri" w:cs="Calibri" w:eastAsia="Calibri" w:hAnsi="Calibri"/>
          <w:color w:val="1F2937"/>
          <w:sz w:val="21"/>
          <w:szCs w:val="21"/>
        </w:rPr>
        <w:t xml:space="preserve">required — this is the name shown everywhere else in the app (transaction pickers, reports).</w:t>
      </w:r>
    </w:p>
    <w:p>
      <w:pPr>
        <w:pStyle w:val="ListParagraph"/>
        <w:numPr>
          <w:ilvl w:val="0"/>
          <w:numId w:val="2"/>
        </w:numPr>
        <w:spacing w:after="90" w:line="270"/>
        <w:jc w:val="both"/>
      </w:pPr>
      <w:r>
        <w:rPr>
          <w:rFonts w:ascii="Calibri" w:cs="Calibri" w:eastAsia="Calibri" w:hAnsi="Calibri"/>
          <w:b/>
          <w:bCs/>
          <w:color w:val="1F2937"/>
          <w:sz w:val="21"/>
          <w:szCs w:val="21"/>
        </w:rPr>
        <w:t xml:space="preserve">Registration type — </w:t>
      </w:r>
      <w:r>
        <w:rPr>
          <w:rFonts w:ascii="Calibri" w:cs="Calibri" w:eastAsia="Calibri" w:hAnsi="Calibri"/>
          <w:color w:val="1F2937"/>
          <w:sz w:val="21"/>
          <w:szCs w:val="21"/>
        </w:rPr>
        <w:t xml:space="preserve">VAT or Non-VAT — this decides which VAT types (12% / Zero-Rated / Exempt) you're offered when transacting with this party. Marking a party VAT-registered requires their TIN and full address to be filled in first.</w:t>
      </w:r>
    </w:p>
    <w:p>
      <w:pPr>
        <w:pStyle w:val="ListParagraph"/>
        <w:numPr>
          <w:ilvl w:val="0"/>
          <w:numId w:val="2"/>
        </w:numPr>
        <w:spacing w:after="90" w:line="270"/>
        <w:jc w:val="both"/>
      </w:pPr>
      <w:r>
        <w:rPr>
          <w:rFonts w:ascii="Calibri" w:cs="Calibri" w:eastAsia="Calibri" w:hAnsi="Calibri"/>
          <w:b/>
          <w:bCs/>
          <w:color w:val="1F2937"/>
          <w:sz w:val="21"/>
          <w:szCs w:val="21"/>
        </w:rPr>
        <w:t xml:space="preserve">Payment terms — </w:t>
      </w:r>
      <w:r>
        <w:rPr>
          <w:rFonts w:ascii="Calibri" w:cs="Calibri" w:eastAsia="Calibri" w:hAnsi="Calibri"/>
          <w:color w:val="1F2937"/>
          <w:sz w:val="21"/>
          <w:szCs w:val="21"/>
        </w:rPr>
        <w:t xml:space="preserve">for Customers and Vendors — e.g. "Net 30" or "COD". This auto-fills on new transactions and sets the due date.</w:t>
      </w:r>
    </w:p>
    <w:p>
      <w:pPr>
        <w:pStyle w:val="ListParagraph"/>
        <w:numPr>
          <w:ilvl w:val="0"/>
          <w:numId w:val="2"/>
        </w:numPr>
        <w:spacing w:after="90" w:line="270"/>
        <w:jc w:val="both"/>
      </w:pPr>
      <w:r>
        <w:rPr>
          <w:rFonts w:ascii="Calibri" w:cs="Calibri" w:eastAsia="Calibri" w:hAnsi="Calibri"/>
          <w:b/>
          <w:bCs/>
          <w:color w:val="1F2937"/>
          <w:sz w:val="21"/>
          <w:szCs w:val="21"/>
        </w:rPr>
        <w:t xml:space="preserve">TIN, address, contact details — </w:t>
      </w:r>
      <w:r>
        <w:rPr>
          <w:rFonts w:ascii="Calibri" w:cs="Calibri" w:eastAsia="Calibri" w:hAnsi="Calibri"/>
          <w:color w:val="1F2937"/>
          <w:sz w:val="21"/>
          <w:szCs w:val="21"/>
        </w:rPr>
        <w:t xml:space="preserve">TIN, Barangay/District/City/Province/ZIP, telephone, cell, email, fax, website.</w:t>
      </w:r>
    </w:p>
    <w:p>
      <w:pPr>
        <w:pStyle w:val="ListParagraph"/>
        <w:numPr>
          <w:ilvl w:val="0"/>
          <w:numId w:val="2"/>
        </w:numPr>
        <w:spacing w:after="90" w:line="270"/>
        <w:jc w:val="both"/>
      </w:pPr>
      <w:r>
        <w:rPr>
          <w:rFonts w:ascii="Calibri" w:cs="Calibri" w:eastAsia="Calibri" w:hAnsi="Calibri"/>
          <w:b/>
          <w:bCs/>
          <w:color w:val="1F2937"/>
          <w:sz w:val="21"/>
          <w:szCs w:val="21"/>
        </w:rPr>
        <w:t xml:space="preserve">Employees — </w:t>
      </w:r>
      <w:r>
        <w:rPr>
          <w:rFonts w:ascii="Calibri" w:cs="Calibri" w:eastAsia="Calibri" w:hAnsi="Calibri"/>
          <w:color w:val="1F2937"/>
          <w:sz w:val="21"/>
          <w:szCs w:val="21"/>
        </w:rPr>
        <w:t xml:space="preserve">use Last/First/Middle name and a Position field instead of the trade-name/registered-name split.</w:t>
      </w: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NOTE</w:t>
            </w:r>
          </w:p>
          <w:p>
            <w:pPr>
              <w:spacing w:after="0" w:line="270"/>
              <w:jc w:val="both"/>
            </w:pPr>
            <w:r>
              <w:rPr>
                <w:rFonts w:ascii="Calibri" w:cs="Calibri" w:eastAsia="Calibri" w:hAnsi="Calibri"/>
                <w:color w:val="1F2937"/>
                <w:sz w:val="21"/>
                <w:szCs w:val="21"/>
              </w:rPr>
              <w:t xml:space="preserve">Everywhere you pick a customer, vendor, employee, or contact on a transaction, you can just start typing to filter the list by code or name — no need to scroll. Selected parties are shown by their Trade Name. If the party you need doesn't exist yet, most pickers offer a "+ New" option so you can add them without leaving the transaction.</w:t>
            </w:r>
          </w:p>
        </w:tc>
      </w:tr>
    </w:tbl>
    <w:p>
      <w:pPr>
        <w:pStyle w:val="Heading2"/>
        <w:spacing w:after="140" w:before="340"/>
      </w:pPr>
      <w:r>
        <w:rPr>
          <w:rFonts w:ascii="Calibri" w:cs="Calibri" w:eastAsia="Calibri" w:hAnsi="Calibri"/>
          <w:b/>
          <w:bCs/>
          <w:color w:val="0B2A5E"/>
          <w:sz w:val="26"/>
          <w:szCs w:val="26"/>
        </w:rPr>
        <w:t xml:space="preserve">7.2 Items</w:t>
      </w:r>
    </w:p>
    <w:p>
      <w:pPr>
        <w:pStyle w:val="Heading3"/>
        <w:spacing w:after="100" w:before="220"/>
      </w:pPr>
      <w:r>
        <w:rPr>
          <w:rFonts w:ascii="Calibri" w:cs="Calibri" w:eastAsia="Calibri" w:hAnsi="Calibri"/>
          <w:b/>
          <w:bCs/>
          <w:color w:val="1F2937"/>
          <w:sz w:val="22"/>
          <w:szCs w:val="22"/>
        </w:rPr>
        <w:t xml:space="preserve">Items</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Master Data → Items</w:t>
      </w:r>
    </w:p>
    <w:p>
      <w:pPr>
        <w:spacing w:after="140" w:line="276"/>
        <w:jc w:val="both"/>
      </w:pPr>
      <w:r>
        <w:rPr>
          <w:rFonts w:ascii="Calibri" w:cs="Calibri" w:eastAsia="Calibri" w:hAnsi="Calibri"/>
          <w:color w:val="1F2937"/>
          <w:sz w:val="21"/>
          <w:szCs w:val="21"/>
        </w:rPr>
        <w:t xml:space="preserve">Inventory and service items you can reference for your own record-keeping — item code, description, type (Inventory / Non-inventory / Service), unit of measure, default cost, VAT treatment, and the inventory/COGS/expense/income accounts each type posts to.</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Use "Show inactive" to reveal deactivated items in the list.</w:t>
      </w:r>
    </w:p>
    <w:p>
      <w:pPr>
        <w:spacing w:after="160"/>
      </w:pP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8. Setup</w:t>
      </w:r>
    </w:p>
    <w:p>
      <w:pPr>
        <w:pStyle w:val="Heading2"/>
        <w:spacing w:after="140" w:before="340"/>
      </w:pPr>
      <w:r>
        <w:rPr>
          <w:rFonts w:ascii="Calibri" w:cs="Calibri" w:eastAsia="Calibri" w:hAnsi="Calibri"/>
          <w:b/>
          <w:bCs/>
          <w:color w:val="0B2A5E"/>
          <w:sz w:val="26"/>
          <w:szCs w:val="26"/>
        </w:rPr>
        <w:t xml:space="preserve">8.1 Ask ARbi</w:t>
      </w:r>
    </w:p>
    <w:p>
      <w:pPr>
        <w:pStyle w:val="Heading3"/>
        <w:spacing w:after="100" w:before="220"/>
      </w:pPr>
      <w:r>
        <w:rPr>
          <w:rFonts w:ascii="Calibri" w:cs="Calibri" w:eastAsia="Calibri" w:hAnsi="Calibri"/>
          <w:b/>
          <w:bCs/>
          <w:color w:val="1F2937"/>
          <w:sz w:val="22"/>
          <w:szCs w:val="22"/>
        </w:rPr>
        <w:t xml:space="preserve">Ask ARbi</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Setup → Ask ARbi</w:t>
      </w:r>
    </w:p>
    <w:p>
      <w:pPr>
        <w:spacing w:after="140" w:line="276"/>
        <w:jc w:val="both"/>
      </w:pPr>
      <w:r>
        <w:rPr>
          <w:rFonts w:ascii="Calibri" w:cs="Calibri" w:eastAsia="Calibri" w:hAnsi="Calibri"/>
          <w:color w:val="1F2937"/>
          <w:sz w:val="21"/>
          <w:szCs w:val="21"/>
        </w:rPr>
        <w:t xml:space="preserve">Skip hunting through the menu — type what you want in plain English and ARbi finds the report, works out the period, and opens it for you.</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Try things like: "Generate a Cash Disbursement report for the current month", "Show me the Income Statement for this year", "VAT Return for Q2 2026", "Trial Balance as of today", "Purchase Journal for last month" — or click one of the suggested examples shown on the page.</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When ARbi finds a match, it shows a quick preview right on the page (where available) plus an "Open full report ↗" link to the real report with your filters already applied, so you can print or export from there.</w:t>
      </w:r>
    </w:p>
    <w:p>
      <w:pPr>
        <w:spacing w:after="160"/>
      </w:pPr>
    </w:p>
    <w:p>
      <w:pPr>
        <w:pStyle w:val="Heading2"/>
        <w:spacing w:after="140" w:before="340"/>
      </w:pPr>
      <w:r>
        <w:rPr>
          <w:rFonts w:ascii="Calibri" w:cs="Calibri" w:eastAsia="Calibri" w:hAnsi="Calibri"/>
          <w:b/>
          <w:bCs/>
          <w:color w:val="0B2A5E"/>
          <w:sz w:val="26"/>
          <w:szCs w:val="26"/>
        </w:rPr>
        <w:t xml:space="preserve">8.2 Company details</w:t>
      </w:r>
    </w:p>
    <w:p>
      <w:pPr>
        <w:spacing w:after="140" w:line="276"/>
        <w:jc w:val="both"/>
      </w:pPr>
      <w:r>
        <w:rPr>
          <w:rFonts w:ascii="Calibri" w:cs="Calibri" w:eastAsia="Calibri" w:hAnsi="Calibri"/>
          <w:color w:val="1F2937"/>
          <w:sz w:val="21"/>
          <w:szCs w:val="21"/>
        </w:rPr>
        <w:t xml:space="preserve">Setup → Company details shows everything BIR needs to know about your company — Trade Name, TIN, taxpayer classification, business address, RDO code, period type, registration type, and so on.</w:t>
      </w: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NOTE</w:t>
            </w:r>
          </w:p>
          <w:p>
            <w:pPr>
              <w:spacing w:after="0" w:line="270"/>
              <w:jc w:val="both"/>
            </w:pPr>
            <w:r>
              <w:rPr>
                <w:rFonts w:ascii="Calibri" w:cs="Calibri" w:eastAsia="Calibri" w:hAnsi="Calibri"/>
                <w:color w:val="1F2937"/>
                <w:sz w:val="21"/>
                <w:szCs w:val="21"/>
              </w:rPr>
              <w:t xml:space="preserve">This page is read-only for subscribers. These details are managed by your administrator — if anything here needs to change, contact them.</w:t>
            </w:r>
          </w:p>
        </w:tc>
      </w:tr>
    </w:tbl>
    <w:p>
      <w:pPr>
        <w:spacing w:after="140" w:line="276"/>
        <w:jc w:val="both"/>
      </w:pPr>
      <w:r>
        <w:rPr>
          <w:rFonts w:ascii="Calibri" w:cs="Calibri" w:eastAsia="Calibri" w:hAnsi="Calibri"/>
          <w:color w:val="1F2937"/>
          <w:sz w:val="21"/>
          <w:szCs w:val="21"/>
        </w:rPr>
        <w:t xml:space="preserve">The one thing you can configure on this page yourself is Number Series — the auto-numbering prefix, next number, and padding used for each document type (this is what powers the auto-suggested codes you see when adding a new Customer or Vendor, for example).</w:t>
      </w:r>
    </w:p>
    <w:p>
      <w:pPr>
        <w:pStyle w:val="Heading2"/>
        <w:spacing w:after="140" w:before="340"/>
      </w:pPr>
      <w:r>
        <w:rPr>
          <w:rFonts w:ascii="Calibri" w:cs="Calibri" w:eastAsia="Calibri" w:hAnsi="Calibri"/>
          <w:b/>
          <w:bCs/>
          <w:color w:val="0B2A5E"/>
          <w:sz w:val="26"/>
          <w:szCs w:val="26"/>
        </w:rPr>
        <w:t xml:space="preserve">8.3 Branches</w:t>
      </w:r>
    </w:p>
    <w:p>
      <w:pPr>
        <w:pStyle w:val="Heading3"/>
        <w:spacing w:after="100" w:before="220"/>
      </w:pPr>
      <w:r>
        <w:rPr>
          <w:rFonts w:ascii="Calibri" w:cs="Calibri" w:eastAsia="Calibri" w:hAnsi="Calibri"/>
          <w:b/>
          <w:bCs/>
          <w:color w:val="1F2937"/>
          <w:sz w:val="22"/>
          <w:szCs w:val="22"/>
        </w:rPr>
        <w:t xml:space="preserve">Branches</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Setup → Branches</w:t>
      </w:r>
    </w:p>
    <w:p>
      <w:pPr>
        <w:spacing w:after="140" w:line="276"/>
        <w:jc w:val="both"/>
      </w:pPr>
      <w:r>
        <w:rPr>
          <w:rFonts w:ascii="Calibri" w:cs="Calibri" w:eastAsia="Calibri" w:hAnsi="Calibri"/>
          <w:color w:val="1F2937"/>
          <w:sz w:val="21"/>
          <w:szCs w:val="21"/>
        </w:rPr>
        <w:t xml:space="preserve">Set up your business branches and their BIR branch codes. Every transaction lets the encoder pick a branch, and every report can be filtered or filed per branch.</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Name, Address, TIN, Branch code, and which one is the default branch.</w:t>
      </w:r>
    </w:p>
    <w:p>
      <w:pPr>
        <w:spacing w:after="60"/>
      </w:pP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NOTE</w:t>
            </w:r>
          </w:p>
          <w:p>
            <w:pPr>
              <w:spacing w:after="0" w:line="270"/>
              <w:jc w:val="both"/>
            </w:pPr>
            <w:r>
              <w:rPr>
                <w:rFonts w:ascii="Calibri" w:cs="Calibri" w:eastAsia="Calibri" w:hAnsi="Calibri"/>
                <w:color w:val="1F2937"/>
                <w:sz w:val="21"/>
                <w:szCs w:val="21"/>
              </w:rPr>
              <w:t xml:space="preserve">Manager only — only a Manager can add, edit, or delete branches. Plain User accounts see this list, but can't change it.</w:t>
            </w:r>
          </w:p>
        </w:tc>
      </w:tr>
    </w:tbl>
    <w:p>
      <w:pPr>
        <w:spacing w:after="160"/>
      </w:pPr>
    </w:p>
    <w:p>
      <w:pPr>
        <w:pStyle w:val="Heading2"/>
        <w:spacing w:after="140" w:before="340"/>
      </w:pPr>
      <w:r>
        <w:rPr>
          <w:rFonts w:ascii="Calibri" w:cs="Calibri" w:eastAsia="Calibri" w:hAnsi="Calibri"/>
          <w:b/>
          <w:bCs/>
          <w:color w:val="0B2A5E"/>
          <w:sz w:val="26"/>
          <w:szCs w:val="26"/>
        </w:rPr>
        <w:t xml:space="preserve">8.4 Tax posting setup</w:t>
      </w:r>
    </w:p>
    <w:p>
      <w:pPr>
        <w:pStyle w:val="Heading3"/>
        <w:spacing w:after="100" w:before="220"/>
      </w:pPr>
      <w:r>
        <w:rPr>
          <w:rFonts w:ascii="Calibri" w:cs="Calibri" w:eastAsia="Calibri" w:hAnsi="Calibri"/>
          <w:b/>
          <w:bCs/>
          <w:color w:val="1F2937"/>
          <w:sz w:val="22"/>
          <w:szCs w:val="22"/>
        </w:rPr>
        <w:t xml:space="preserve">Tax posting setup</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Setup → Tax posting setup</w:t>
      </w:r>
    </w:p>
    <w:p>
      <w:pPr>
        <w:spacing w:after="140" w:line="276"/>
        <w:jc w:val="both"/>
      </w:pPr>
      <w:r>
        <w:rPr>
          <w:rFonts w:ascii="Calibri" w:cs="Calibri" w:eastAsia="Calibri" w:hAnsi="Calibri"/>
          <w:color w:val="1F2937"/>
          <w:sz w:val="21"/>
          <w:szCs w:val="21"/>
        </w:rPr>
        <w:t xml:space="preserve">Tells ARbixo's automatic posting engine which General Ledger accounts to use for VAT and withholding tax, so that logic isn't hidden — if one of these isn't set yet, a transaction that needs it will show a clear error instead of silently posting somewhere wrong.</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b/>
          <w:bCs/>
          <w:color w:val="1F2937"/>
          <w:sz w:val="21"/>
          <w:szCs w:val="21"/>
        </w:rPr>
        <w:t xml:space="preserve">Input VAT account — </w:t>
      </w:r>
      <w:r>
        <w:rPr>
          <w:rFonts w:ascii="Calibri" w:cs="Calibri" w:eastAsia="Calibri" w:hAnsi="Calibri"/>
          <w:color w:val="1F2937"/>
          <w:sz w:val="21"/>
          <w:szCs w:val="21"/>
        </w:rPr>
        <w:t xml:space="preserve">usually an Other Current Asset — VAT you paid on purchases, creditable against Output VAT.</w:t>
      </w:r>
    </w:p>
    <w:p>
      <w:pPr>
        <w:pStyle w:val="ListParagraph"/>
        <w:numPr>
          <w:ilvl w:val="0"/>
          <w:numId w:val="2"/>
        </w:numPr>
        <w:spacing w:after="90" w:line="270"/>
        <w:jc w:val="both"/>
      </w:pPr>
      <w:r>
        <w:rPr>
          <w:rFonts w:ascii="Calibri" w:cs="Calibri" w:eastAsia="Calibri" w:hAnsi="Calibri"/>
          <w:b/>
          <w:bCs/>
          <w:color w:val="1F2937"/>
          <w:sz w:val="21"/>
          <w:szCs w:val="21"/>
        </w:rPr>
        <w:t xml:space="preserve">Output VAT account — </w:t>
      </w:r>
      <w:r>
        <w:rPr>
          <w:rFonts w:ascii="Calibri" w:cs="Calibri" w:eastAsia="Calibri" w:hAnsi="Calibri"/>
          <w:color w:val="1F2937"/>
          <w:sz w:val="21"/>
          <w:szCs w:val="21"/>
        </w:rPr>
        <w:t xml:space="preserve">usually an Other Current Liability — VAT you collected on sales, owed to BIR.</w:t>
      </w:r>
    </w:p>
    <w:p>
      <w:pPr>
        <w:pStyle w:val="ListParagraph"/>
        <w:numPr>
          <w:ilvl w:val="0"/>
          <w:numId w:val="2"/>
        </w:numPr>
        <w:spacing w:after="90" w:line="270"/>
        <w:jc w:val="both"/>
      </w:pPr>
      <w:r>
        <w:rPr>
          <w:rFonts w:ascii="Calibri" w:cs="Calibri" w:eastAsia="Calibri" w:hAnsi="Calibri"/>
          <w:b/>
          <w:bCs/>
          <w:color w:val="1F2937"/>
          <w:sz w:val="21"/>
          <w:szCs w:val="21"/>
        </w:rPr>
        <w:t xml:space="preserve">Withholding tax payable account — </w:t>
      </w:r>
      <w:r>
        <w:rPr>
          <w:rFonts w:ascii="Calibri" w:cs="Calibri" w:eastAsia="Calibri" w:hAnsi="Calibri"/>
          <w:color w:val="1F2937"/>
          <w:sz w:val="21"/>
          <w:szCs w:val="21"/>
        </w:rPr>
        <w:t xml:space="preserve">Other Current Liability — tax you withhold from vendors, to be remitted to BIR later.</w:t>
      </w:r>
    </w:p>
    <w:p>
      <w:pPr>
        <w:pStyle w:val="ListParagraph"/>
        <w:numPr>
          <w:ilvl w:val="0"/>
          <w:numId w:val="2"/>
        </w:numPr>
        <w:spacing w:after="90" w:line="270"/>
        <w:jc w:val="both"/>
      </w:pPr>
      <w:r>
        <w:rPr>
          <w:rFonts w:ascii="Calibri" w:cs="Calibri" w:eastAsia="Calibri" w:hAnsi="Calibri"/>
          <w:b/>
          <w:bCs/>
          <w:color w:val="1F2937"/>
          <w:sz w:val="21"/>
          <w:szCs w:val="21"/>
        </w:rPr>
        <w:t xml:space="preserve">Creditable withholding tax account — </w:t>
      </w:r>
      <w:r>
        <w:rPr>
          <w:rFonts w:ascii="Calibri" w:cs="Calibri" w:eastAsia="Calibri" w:hAnsi="Calibri"/>
          <w:color w:val="1F2937"/>
          <w:sz w:val="21"/>
          <w:szCs w:val="21"/>
        </w:rPr>
        <w:t xml:space="preserve">Other Current Asset — tax a customer withheld from paying you; offsets your income tax due. Not the same account as the liability above.</w:t>
      </w:r>
    </w:p>
    <w:p>
      <w:pPr>
        <w:spacing w:after="160"/>
      </w:pPr>
    </w:p>
    <w:p>
      <w:pPr>
        <w:pStyle w:val="Heading2"/>
        <w:spacing w:after="140" w:before="340"/>
      </w:pPr>
      <w:r>
        <w:rPr>
          <w:rFonts w:ascii="Calibri" w:cs="Calibri" w:eastAsia="Calibri" w:hAnsi="Calibri"/>
          <w:b/>
          <w:bCs/>
          <w:color w:val="0B2A5E"/>
          <w:sz w:val="26"/>
          <w:szCs w:val="26"/>
        </w:rPr>
        <w:t xml:space="preserve">8.5 Chart of accounts</w:t>
      </w:r>
    </w:p>
    <w:p>
      <w:pPr>
        <w:pStyle w:val="Heading3"/>
        <w:spacing w:after="100" w:before="220"/>
      </w:pPr>
      <w:r>
        <w:rPr>
          <w:rFonts w:ascii="Calibri" w:cs="Calibri" w:eastAsia="Calibri" w:hAnsi="Calibri"/>
          <w:b/>
          <w:bCs/>
          <w:color w:val="1F2937"/>
          <w:sz w:val="22"/>
          <w:szCs w:val="22"/>
        </w:rPr>
        <w:t xml:space="preserve">Chart of accounts</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Setup → Chart of accounts (or the "Accounts" link)</w:t>
      </w:r>
    </w:p>
    <w:p>
      <w:pPr>
        <w:spacing w:after="140" w:line="276"/>
        <w:jc w:val="both"/>
      </w:pPr>
      <w:r>
        <w:rPr>
          <w:rFonts w:ascii="Calibri" w:cs="Calibri" w:eastAsia="Calibri" w:hAnsi="Calibri"/>
          <w:color w:val="1F2937"/>
          <w:sz w:val="21"/>
          <w:szCs w:val="21"/>
        </w:rPr>
        <w:t xml:space="preserve">The full account structure your transactions post to, shown as a tree of Headings (structural subtotal groups you can't post to) containing Posting accounts (the ones you actually pick on a transaction).</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"Load default headings" seeds the standard heading structure — it only adds what you don't already have, without touching anything existing.</w:t>
      </w:r>
    </w:p>
    <w:p>
      <w:pPr>
        <w:pStyle w:val="ListParagraph"/>
        <w:numPr>
          <w:ilvl w:val="0"/>
          <w:numId w:val="2"/>
        </w:numPr>
        <w:spacing w:after="90" w:line="270"/>
        <w:jc w:val="both"/>
      </w:pPr>
      <w:r>
        <w:rPr>
          <w:rFonts w:ascii="Calibri" w:cs="Calibri" w:eastAsia="Calibri" w:hAnsi="Calibri"/>
          <w:color w:val="1F2937"/>
          <w:sz w:val="21"/>
          <w:szCs w:val="21"/>
        </w:rPr>
        <w:t xml:space="preserve">"+ heading" adds a new top-level heading; each heading's "+ sub" adds a posting account nested under it.</w:t>
      </w:r>
    </w:p>
    <w:p>
      <w:pPr>
        <w:pStyle w:val="ListParagraph"/>
        <w:numPr>
          <w:ilvl w:val="0"/>
          <w:numId w:val="2"/>
        </w:numPr>
        <w:spacing w:after="90" w:line="270"/>
        <w:jc w:val="both"/>
      </w:pPr>
      <w:r>
        <w:rPr>
          <w:rFonts w:ascii="Calibri" w:cs="Calibri" w:eastAsia="Calibri" w:hAnsi="Calibri"/>
          <w:color w:val="1F2937"/>
          <w:sz w:val="21"/>
          <w:szCs w:val="21"/>
        </w:rPr>
        <w:t xml:space="preserve">Click any row to edit it in the side panel: Parent (heading), Type, Code, Title, Classification (drives the default normal balance), Normal balance, Opening balance (posting accounts only), and Active.</w:t>
      </w:r>
    </w:p>
    <w:p>
      <w:pPr>
        <w:spacing w:after="60"/>
      </w:pP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NOTE</w:t>
            </w:r>
          </w:p>
          <w:p>
            <w:pPr>
              <w:spacing w:after="0" w:line="270"/>
              <w:jc w:val="both"/>
            </w:pPr>
            <w:r>
              <w:rPr>
                <w:rFonts w:ascii="Calibri" w:cs="Calibri" w:eastAsia="Calibri" w:hAnsi="Calibri"/>
                <w:color w:val="1F2937"/>
                <w:sz w:val="21"/>
                <w:szCs w:val="21"/>
              </w:rPr>
              <w:t xml:space="preserve">You can add and edit accounts here yourself — this isn't a view-only page like Company details.</w:t>
            </w:r>
          </w:p>
        </w:tc>
      </w:tr>
    </w:tbl>
    <w:p>
      <w:pPr>
        <w:spacing w:after="160"/>
      </w:pP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9. Manager-Only: Utility</w:t>
      </w:r>
    </w:p>
    <w:p>
      <w:pPr>
        <w:spacing w:after="140" w:line="276"/>
        <w:jc w:val="both"/>
      </w:pPr>
      <w:r>
        <w:rPr>
          <w:rFonts w:ascii="Calibri" w:cs="Calibri" w:eastAsia="Calibri" w:hAnsi="Calibri"/>
          <w:color w:val="1F2937"/>
          <w:sz w:val="21"/>
          <w:szCs w:val="21"/>
        </w:rPr>
        <w:t xml:space="preserve">The Utility section only appears for Manager-level accounts. It covers oversight and safety-net tools for your company that a plain User account doesn't need day to day.</w:t>
      </w:r>
    </w:p>
    <w:p>
      <w:pPr>
        <w:pStyle w:val="Heading2"/>
        <w:spacing w:after="140" w:before="340"/>
      </w:pPr>
      <w:r>
        <w:rPr>
          <w:rFonts w:ascii="Calibri" w:cs="Calibri" w:eastAsia="Calibri" w:hAnsi="Calibri"/>
          <w:b/>
          <w:bCs/>
          <w:color w:val="0B2A5E"/>
          <w:sz w:val="26"/>
          <w:szCs w:val="26"/>
        </w:rPr>
        <w:t xml:space="preserve">9.1 Audit trail</w:t>
      </w:r>
    </w:p>
    <w:p>
      <w:pPr>
        <w:pStyle w:val="Heading3"/>
        <w:spacing w:after="100" w:before="220"/>
      </w:pPr>
      <w:r>
        <w:rPr>
          <w:rFonts w:ascii="Calibri" w:cs="Calibri" w:eastAsia="Calibri" w:hAnsi="Calibri"/>
          <w:b/>
          <w:bCs/>
          <w:color w:val="1F2937"/>
          <w:sz w:val="22"/>
          <w:szCs w:val="22"/>
        </w:rPr>
        <w:t xml:space="preserve">Audit trail</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Utility → Audit trail</w:t>
      </w:r>
    </w:p>
    <w:p>
      <w:pPr>
        <w:spacing w:after="140" w:line="276"/>
        <w:jc w:val="both"/>
      </w:pPr>
      <w:r>
        <w:rPr>
          <w:rFonts w:ascii="Calibri" w:cs="Calibri" w:eastAsia="Calibri" w:hAnsi="Calibri"/>
          <w:color w:val="1F2937"/>
          <w:sz w:val="21"/>
          <w:szCs w:val="21"/>
        </w:rPr>
        <w:t xml:space="preserve">A log of logins and transaction activity across your company, so you can see who did what and when.</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Results show When, User, Action, and IP address.</w:t>
      </w:r>
    </w:p>
    <w:p>
      <w:pPr>
        <w:spacing w:after="160"/>
      </w:pPr>
    </w:p>
    <w:p>
      <w:pPr>
        <w:pStyle w:val="Heading2"/>
        <w:spacing w:after="140" w:before="340"/>
      </w:pPr>
      <w:r>
        <w:rPr>
          <w:rFonts w:ascii="Calibri" w:cs="Calibri" w:eastAsia="Calibri" w:hAnsi="Calibri"/>
          <w:b/>
          <w:bCs/>
          <w:color w:val="0B2A5E"/>
          <w:sz w:val="26"/>
          <w:szCs w:val="26"/>
        </w:rPr>
        <w:t xml:space="preserve">9.2 Data backup</w:t>
      </w:r>
    </w:p>
    <w:p>
      <w:pPr>
        <w:pStyle w:val="Heading3"/>
        <w:spacing w:after="100" w:before="220"/>
      </w:pPr>
      <w:r>
        <w:rPr>
          <w:rFonts w:ascii="Calibri" w:cs="Calibri" w:eastAsia="Calibri" w:hAnsi="Calibri"/>
          <w:b/>
          <w:bCs/>
          <w:color w:val="1F2937"/>
          <w:sz w:val="22"/>
          <w:szCs w:val="22"/>
        </w:rPr>
        <w:t xml:space="preserve">Data backup</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Utility → Data backup</w:t>
      </w:r>
    </w:p>
    <w:p>
      <w:pPr>
        <w:spacing w:after="140" w:line="276"/>
        <w:jc w:val="both"/>
      </w:pPr>
      <w:r>
        <w:rPr>
          <w:rFonts w:ascii="Calibri" w:cs="Calibri" w:eastAsia="Calibri" w:hAnsi="Calibri"/>
          <w:color w:val="1F2937"/>
          <w:sz w:val="21"/>
          <w:szCs w:val="21"/>
        </w:rPr>
        <w:t xml:space="preserve">Download a JSON snapshot of your company's data — accounts, customers/vendors/employees/contacts, ledger entries, tax setup, and audit trail. Credentials are never included.</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Click "Download company backup" to get the file.</w:t>
      </w:r>
    </w:p>
    <w:p>
      <w:pPr>
        <w:spacing w:after="60"/>
      </w:pP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NOTE</w:t>
            </w:r>
          </w:p>
          <w:p>
            <w:pPr>
              <w:spacing w:after="0" w:line="270"/>
              <w:jc w:val="both"/>
            </w:pPr>
            <w:r>
              <w:rPr>
                <w:rFonts w:ascii="Calibri" w:cs="Calibri" w:eastAsia="Calibri" w:hAnsi="Calibri"/>
                <w:color w:val="1F2937"/>
                <w:sz w:val="21"/>
                <w:szCs w:val="21"/>
              </w:rPr>
              <w:t xml:space="preserve">As a Manager you can download your own company's backup. Restoring from a backup, and whole-database backups, are administrator-only tools not available here.</w:t>
            </w:r>
          </w:p>
        </w:tc>
      </w:tr>
    </w:tbl>
    <w:p>
      <w:pPr>
        <w:spacing w:after="160"/>
      </w:pP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10. Manager-Only: Subscription Payments</w:t>
      </w:r>
    </w:p>
    <w:p>
      <w:pPr>
        <w:pStyle w:val="Heading3"/>
        <w:spacing w:after="100" w:before="220"/>
      </w:pPr>
      <w:r>
        <w:rPr>
          <w:rFonts w:ascii="Calibri" w:cs="Calibri" w:eastAsia="Calibri" w:hAnsi="Calibri"/>
          <w:b/>
          <w:bCs/>
          <w:color w:val="1F2937"/>
          <w:sz w:val="22"/>
          <w:szCs w:val="22"/>
        </w:rPr>
        <w:t xml:space="preserve">Renewing your subscription</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Subscription → Subscription payments</w:t>
      </w:r>
    </w:p>
    <w:p>
      <w:pPr>
        <w:spacing w:after="140" w:line="276"/>
        <w:jc w:val="both"/>
      </w:pPr>
      <w:r>
        <w:rPr>
          <w:rFonts w:ascii="Calibri" w:cs="Calibri" w:eastAsia="Calibri" w:hAnsi="Calibri"/>
          <w:color w:val="1F2937"/>
          <w:sz w:val="21"/>
          <w:szCs w:val="21"/>
        </w:rPr>
        <w:t xml:space="preserve">Managers handle keeping the company's ARbixo subscription active.</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Pick the month you're paying for, optionally enter a voucher code, and optionally attach a GCash/bank reference number and a photo of your receipt or proof of payment.</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Submit payment — this doesn't activate the month immediately. It's recorded as pending, and an administrator verifies it against your reference/receipt before that month's coverage turns on. You'll also see a running history of every payment your company has submitted and its status.</w:t>
      </w:r>
    </w:p>
    <w:p>
      <w:pPr>
        <w:spacing w:after="160"/>
      </w:pP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11. Quick Tips</w:t>
      </w:r>
    </w:p>
    <w:p>
      <w:pPr>
        <w:pStyle w:val="ListParagraph"/>
        <w:numPr>
          <w:ilvl w:val="0"/>
          <w:numId w:val="2"/>
        </w:numPr>
        <w:spacing w:after="90" w:line="270"/>
        <w:jc w:val="both"/>
      </w:pPr>
      <w:r>
        <w:rPr>
          <w:rFonts w:ascii="Calibri" w:cs="Calibri" w:eastAsia="Calibri" w:hAnsi="Calibri"/>
          <w:color w:val="1F2937"/>
          <w:sz w:val="21"/>
          <w:szCs w:val="21"/>
        </w:rPr>
        <w:t xml:space="preserve">Post transactions as they happen. ARbixo computes VAT, withholding, and running balances for you the moment something is posted — the further behind you get, the more you're reconciling by hand instead of letting the system do it.</w:t>
      </w:r>
    </w:p>
    <w:p>
      <w:pPr>
        <w:pStyle w:val="ListParagraph"/>
        <w:numPr>
          <w:ilvl w:val="0"/>
          <w:numId w:val="2"/>
        </w:numPr>
        <w:spacing w:after="90" w:line="270"/>
        <w:jc w:val="both"/>
      </w:pPr>
      <w:r>
        <w:rPr>
          <w:rFonts w:ascii="Calibri" w:cs="Calibri" w:eastAsia="Calibri" w:hAnsi="Calibri"/>
          <w:color w:val="1F2937"/>
          <w:sz w:val="21"/>
          <w:szCs w:val="21"/>
        </w:rPr>
        <w:t xml:space="preserve">Use "Apply to invoice(s)" / "Apply to bill(s)" every time a receipt or payment settles a specific invoice or bill. That's what keeps your Customer/Vendor balance reports and aging accurate — a payment that isn't applied still shows the original invoice as fully open.</w:t>
      </w:r>
    </w:p>
    <w:p>
      <w:pPr>
        <w:pStyle w:val="ListParagraph"/>
        <w:numPr>
          <w:ilvl w:val="0"/>
          <w:numId w:val="2"/>
        </w:numPr>
        <w:spacing w:after="90" w:line="270"/>
        <w:jc w:val="both"/>
      </w:pPr>
      <w:r>
        <w:rPr>
          <w:rFonts w:ascii="Calibri" w:cs="Calibri" w:eastAsia="Calibri" w:hAnsi="Calibri"/>
          <w:color w:val="1F2937"/>
          <w:sz w:val="21"/>
          <w:szCs w:val="21"/>
        </w:rPr>
        <w:t xml:space="preserve">If you post something wrong, cancel it and re-enter it correctly rather than trying to "fix" it by posting an offsetting entry yourself — Cancel keeps a clean, auditable trail with your stated reason attached.</w:t>
      </w:r>
    </w:p>
    <w:p>
      <w:pPr>
        <w:pStyle w:val="ListParagraph"/>
        <w:numPr>
          <w:ilvl w:val="0"/>
          <w:numId w:val="2"/>
        </w:numPr>
        <w:spacing w:after="90" w:line="270"/>
        <w:jc w:val="both"/>
      </w:pPr>
      <w:r>
        <w:rPr>
          <w:rFonts w:ascii="Calibri" w:cs="Calibri" w:eastAsia="Calibri" w:hAnsi="Calibri"/>
          <w:color w:val="1F2937"/>
          <w:sz w:val="21"/>
          <w:szCs w:val="21"/>
        </w:rPr>
        <w:t xml:space="preserve">Not sure where a report lives? Try Ask ARbi first (section 8.1) — describing what you want in plain English is often faster than hunting through the menu.</w:t>
      </w:r>
    </w:p>
    <w:p>
      <w:pPr>
        <w:pStyle w:val="ListParagraph"/>
        <w:numPr>
          <w:ilvl w:val="0"/>
          <w:numId w:val="2"/>
        </w:numPr>
        <w:spacing w:after="90" w:line="270"/>
        <w:jc w:val="both"/>
      </w:pPr>
      <w:r>
        <w:rPr>
          <w:rFonts w:ascii="Calibri" w:cs="Calibri" w:eastAsia="Calibri" w:hAnsi="Calibri"/>
          <w:color w:val="1F2937"/>
          <w:sz w:val="21"/>
          <w:szCs w:val="21"/>
        </w:rPr>
        <w:t xml:space="preserve">When in doubt about a BIR figure, treat ARbixo's BIR Reports as a strong head start and verify against the actual form before you file — they mirror the official layouts but ARbixo is not a substitute for the eFPS/eBIRForms filing itself.</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Page </w:t>
    </w:r>
    <w:r>
      <w:rPr>
        <w:rFonts w:ascii="Calibri" w:cs="Calibri" w:eastAsia="Calibri" w:hAnsi="Calibri"/>
        <w:color w:val="9CA3AF"/>
        <w:sz w:val="16"/>
        <w:szCs w:val="16"/>
      </w:rPr>
      <w:fldChar w:fldCharType="begin"/>
      <w:instrText xml:space="preserve">PAGE</w:instrText>
      <w:fldChar w:fldCharType="separate"/>
      <w:fldChar w:fldCharType="end"/>
    </w:r>
    <w:r>
      <w:rPr>
        <w:rFonts w:ascii="Calibri" w:cs="Calibri" w:eastAsia="Calibri" w:hAnsi="Calibri"/>
        <w:color w:val="9CA3AF"/>
        <w:sz w:val="16"/>
        <w:szCs w:val="16"/>
      </w:rPr>
      <w:t xml:space="preserve"> of </w:t>
    </w:r>
    <w:r>
      <w:rPr>
        <w:rFonts w:ascii="Calibri" w:cs="Calibri" w:eastAsia="Calibri" w:hAnsi="Calibri"/>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rFonts w:ascii="Calibri" w:cs="Calibri" w:eastAsia="Calibri" w:hAnsi="Calibri"/>
        <w:color w:val="9CA3AF"/>
        <w:sz w:val="16"/>
        <w:szCs w:val="16"/>
      </w:rPr>
      <w:t xml:space="preserve">ARbixo — Manager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2026-09-15T00:32:37.247Z</dcterms:created>
  <dcterms:modified xsi:type="dcterms:W3CDTF">2026-09-15T00:32:37.248Z</dcterms:modified>
</cp:coreProperties>
</file>

<file path=docProps/custom.xml><?xml version="1.0" encoding="utf-8"?>
<Properties xmlns="http://schemas.openxmlformats.org/officeDocument/2006/custom-properties" xmlns:vt="http://schemas.openxmlformats.org/officeDocument/2006/docPropsVTypes"/>
</file>