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1F4E79"/>
          <w:sz w:val="36"/>
          <w:szCs w:val="36"/>
        </w:rPr>
        <w:t xml:space="preserve">INTERNAL CORRESPONDENCE</w:t>
      </w:r>
    </w:p>
    <w:p>
      <w:pPr>
        <w:spacing w:after="80"/>
      </w:pPr>
      <w:r>
        <w:rPr>
          <w:rFonts w:ascii="Arial" w:cs="Arial" w:eastAsia="Arial" w:hAnsi="Arial"/>
          <w:color w:val="1F4E79"/>
          <w:sz w:val="28"/>
          <w:szCs w:val="28"/>
        </w:rPr>
        <w:t xml:space="preserve">Microsoft Corporation — BU1 Technology &amp; Cyber Lines</w:t>
      </w:r>
    </w:p>
    <w:p>
      <w:pPr>
        <w:spacing w:after="80"/>
      </w:pPr>
      <w:r>
        <w:rPr>
          <w:rFonts w:ascii="Arial" w:cs="Arial" w:eastAsia="Arial" w:hAnsi="Arial"/>
          <w:color w:val="888888"/>
          <w:sz w:val="22"/>
          <w:szCs w:val="22"/>
        </w:rPr>
        <w:t xml:space="preserve">Treaty: QS-2025-MSFT-001  |  Reinsurer: Swiss Re</w:t>
      </w:r>
    </w:p>
    <w:p>
      <w:pPr>
        <w:spacing w:after="300"/>
      </w:pPr>
      <w:r>
        <w:rPr>
          <w:rFonts w:ascii="Arial" w:cs="Arial" w:eastAsia="Arial" w:hAnsi="Arial"/>
          <w:color w:val="888888"/>
          <w:sz w:val="22"/>
          <w:szCs w:val="22"/>
        </w:rPr>
        <w:t xml:space="preserve">Email thread — Underwriting, Actuarial, Claims &amp; Cyber Risk  |  September–December 2025</w:t>
      </w:r>
    </w:p>
    <w:p>
      <w:pPr>
        <w:spacing w:after="120"/>
      </w:pPr>
      <w:r>
        <w:rPr>
          <w:rFonts w:ascii="Arial" w:cs="Arial" w:eastAsia="Arial" w:hAnsi="Arial"/>
          <w:b/>
          <w:bCs/>
          <w:color w:val="1F4E79"/>
          <w:sz w:val="21"/>
          <w:szCs w:val="21"/>
        </w:rPr>
        <w:t xml:space="preserve">DISTRIBUTION</w:t>
      </w:r>
    </w:p>
    <w:p>
      <w:pPr>
        <w:spacing w:after="120"/>
      </w:pPr>
      <w:r>
        <w:rPr>
          <w:rFonts w:ascii="Arial" w:cs="Arial" w:eastAsia="Arial" w:hAnsi="Arial"/>
          <w:sz w:val="21"/>
          <w:szCs w:val="21"/>
        </w:rPr>
        <w:t xml:space="preserve">James Hartley — Senior Underwriter, Technology &amp; Cyber Lines (BU1)</w:t>
      </w:r>
    </w:p>
    <w:p>
      <w:pPr>
        <w:spacing w:after="120"/>
      </w:pPr>
      <w:r>
        <w:rPr>
          <w:rFonts w:ascii="Arial" w:cs="Arial" w:eastAsia="Arial" w:hAnsi="Arial"/>
          <w:sz w:val="21"/>
          <w:szCs w:val="21"/>
        </w:rPr>
        <w:t xml:space="preserve">Dr. Lena Braun — Actuarial Lead, Reserving</w:t>
      </w:r>
    </w:p>
    <w:p>
      <w:pPr>
        <w:spacing w:after="120"/>
      </w:pPr>
      <w:r>
        <w:rPr>
          <w:rFonts w:ascii="Arial" w:cs="Arial" w:eastAsia="Arial" w:hAnsi="Arial"/>
          <w:sz w:val="21"/>
          <w:szCs w:val="21"/>
        </w:rPr>
        <w:t xml:space="preserve">Raj Mehta — Head of Cyber Risk Analytics</w:t>
      </w:r>
    </w:p>
    <w:p>
      <w:pPr>
        <w:spacing w:after="120"/>
      </w:pPr>
      <w:r>
        <w:rPr>
          <w:rFonts w:ascii="Arial" w:cs="Arial" w:eastAsia="Arial" w:hAnsi="Arial"/>
          <w:sz w:val="21"/>
          <w:szCs w:val="21"/>
        </w:rPr>
        <w:t xml:space="preserve">Fiona Walsh — VP Underwriting, BU1</w:t>
      </w:r>
    </w:p>
    <w:p>
      <w:pPr>
        <w:spacing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James Hartley &lt;j.hartley@zurich-re.internal&gt;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Lena Braun &lt;l.braun@zurich-re.internal&gt;; Raj Mehta &lt;r.mehta@zurich-re.internal&gt;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18 September 2025, 08:42</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MSFT cyber breach claim (CLM-MSFT-2025-002) — initial actuarial heads-up</w:t>
            </w:r>
          </w:p>
        </w:tc>
      </w:tr>
    </w:tbl>
    <w:p>
      <w:pPr>
        <w:spacing w:after="60"/>
      </w:pPr>
    </w:p>
    <w:p>
      <w:pPr>
        <w:spacing w:after="120"/>
      </w:pPr>
      <w:r>
        <w:rPr>
          <w:rFonts w:ascii="Arial" w:cs="Arial" w:eastAsia="Arial" w:hAnsi="Arial"/>
          <w:sz w:val="21"/>
          <w:szCs w:val="21"/>
        </w:rPr>
        <w:t xml:space="preserve">Lena, Raj,</w:t>
      </w:r>
    </w:p>
    <w:p>
      <w:pPr>
        <w:spacing w:after="60"/>
      </w:pPr>
    </w:p>
    <w:p>
      <w:pPr>
        <w:spacing w:after="120"/>
      </w:pPr>
      <w:r>
        <w:rPr>
          <w:rFonts w:ascii="Arial" w:cs="Arial" w:eastAsia="Arial" w:hAnsi="Arial"/>
          <w:sz w:val="21"/>
          <w:szCs w:val="21"/>
        </w:rPr>
        <w:t xml:space="preserve">Quick heads-up before the formal claims notification comes through. We received a first advice from Marsh yesterday evening on a significant cyber event affecting Microsoft’s Azure Government Cloud segment.</w:t>
      </w:r>
    </w:p>
    <w:p>
      <w:pPr>
        <w:spacing w:after="60"/>
      </w:pPr>
    </w:p>
    <w:p>
      <w:pPr>
        <w:spacing w:after="120"/>
      </w:pPr>
      <w:r>
        <w:rPr>
          <w:rFonts w:ascii="Arial" w:cs="Arial" w:eastAsia="Arial" w:hAnsi="Arial"/>
          <w:b/>
          <w:bCs/>
          <w:sz w:val="21"/>
          <w:szCs w:val="21"/>
        </w:rPr>
        <w:t xml:space="preserve">What we know so far: </w:t>
      </w:r>
      <w:r>
        <w:rPr>
          <w:rFonts w:ascii="Arial" w:cs="Arial" w:eastAsia="Arial" w:hAnsi="Arial"/>
          <w:sz w:val="21"/>
          <w:szCs w:val="21"/>
        </w:rPr>
        <w:t xml:space="preserve">A threat actor exploited a zero-day vulnerability in the Azure Active Directory Federation Services (ADFS) authentication layer. The breach was detected on 14 September after anomalous token issuance patterns were flagged by Microsoft’s internal SOC. Preliminary forensics suggest the attacker had persistent access for approximately 11 days (3–14 September). The affected segment serves US federal government clients, including several defence and intelligence agencies.</w:t>
      </w:r>
    </w:p>
    <w:p>
      <w:pPr>
        <w:spacing w:after="60"/>
      </w:pPr>
    </w:p>
    <w:p>
      <w:pPr>
        <w:spacing w:after="120"/>
      </w:pPr>
      <w:r>
        <w:rPr>
          <w:rFonts w:ascii="Arial" w:cs="Arial" w:eastAsia="Arial" w:hAnsi="Arial"/>
          <w:b/>
          <w:bCs/>
          <w:sz w:val="21"/>
          <w:szCs w:val="21"/>
        </w:rPr>
        <w:t xml:space="preserve">Why this matters for reserving: </w:t>
      </w:r>
      <w:r>
        <w:rPr>
          <w:rFonts w:ascii="Arial" w:cs="Arial" w:eastAsia="Arial" w:hAnsi="Arial"/>
          <w:sz w:val="21"/>
          <w:szCs w:val="21"/>
        </w:rPr>
        <w:t xml:space="preserve">This isn’t a typical ransomware or data exfiltration event. If classified government data was compromised, the notification and remediation costs are governed by FISMA and FedRAMP incident response protocols, which are materially more expensive than commercial breach response. Microsoft will also face contractual penalties under its government cloud SLAs—potentially $2–5M per agency for downtime exceeding the 99.99% availability guarantee. There are 23 agencies on the affected ADFS cluster.</w:t>
      </w:r>
    </w:p>
    <w:p>
      <w:pPr>
        <w:spacing w:after="60"/>
      </w:pPr>
    </w:p>
    <w:p>
      <w:pPr>
        <w:spacing w:after="120"/>
      </w:pPr>
      <w:r>
        <w:rPr>
          <w:rFonts w:ascii="Arial" w:cs="Arial" w:eastAsia="Arial" w:hAnsi="Arial"/>
          <w:b/>
          <w:bCs/>
          <w:sz w:val="21"/>
          <w:szCs w:val="21"/>
        </w:rPr>
        <w:t xml:space="preserve">Current BDX position: </w:t>
      </w:r>
      <w:r>
        <w:rPr>
          <w:rFonts w:ascii="Arial" w:cs="Arial" w:eastAsia="Arial" w:hAnsi="Arial"/>
          <w:sz w:val="21"/>
          <w:szCs w:val="21"/>
        </w:rPr>
        <w:t xml:space="preserve">Marsh has submitted an initial reserve of $5.4M paid (incident response retainer + CrowdStrike forensics) and $12M outstanding case reserve. I think this is the tip of the iceberg. The $12M case reserve assumes this is contained to the authentication layer. If the forensics reveal lateral movement into customer tenancies, the regulatory exposure alone (FISMA fines + class action risk from government contractors) could push this well past $50M.</w:t>
      </w:r>
    </w:p>
    <w:p>
      <w:pPr>
        <w:spacing w:after="60"/>
      </w:pPr>
    </w:p>
    <w:p>
      <w:pPr>
        <w:spacing w:after="120"/>
      </w:pPr>
      <w:r>
        <w:rPr>
          <w:rFonts w:ascii="Arial" w:cs="Arial" w:eastAsia="Arial" w:hAnsi="Arial"/>
          <w:sz w:val="21"/>
          <w:szCs w:val="21"/>
        </w:rPr>
        <w:t xml:space="preserve">Lena—can you pull the development data on our last three major cyber claims (the 2022 SolarWinds-adjacent event, the 2023 MOVEit claim, and the healthcare ransomware from Q1 2024)? I want to benchmark the paid-to-ultimate development pattern against what we’re seeing here.</w:t>
      </w:r>
    </w:p>
    <w:p>
      <w:pPr>
        <w:spacing w:after="60"/>
      </w:pPr>
    </w:p>
    <w:p>
      <w:pPr>
        <w:spacing w:after="120"/>
      </w:pPr>
      <w:r>
        <w:rPr>
          <w:rFonts w:ascii="Arial" w:cs="Arial" w:eastAsia="Arial" w:hAnsi="Arial"/>
          <w:sz w:val="21"/>
          <w:szCs w:val="21"/>
        </w:rPr>
        <w:t xml:space="preserve">Raj—I need your view on whether this breach profile (government cloud, zero-day, persistent access) changes the frequency/severity assumptions in our cyber pricing model. The current model treats Azure as a single exposure unit but there’s clearly a difference between commercial and government cloud risk.</w:t>
      </w:r>
    </w:p>
    <w:p>
      <w:pPr>
        <w:spacing w:after="60"/>
      </w:pPr>
    </w:p>
    <w:p>
      <w:pPr>
        <w:spacing w:after="40"/>
      </w:pPr>
      <w:r>
        <w:rPr>
          <w:rFonts w:ascii="Arial" w:cs="Arial" w:eastAsia="Arial" w:hAnsi="Arial"/>
          <w:b/>
          <w:bCs/>
          <w:sz w:val="21"/>
          <w:szCs w:val="21"/>
        </w:rPr>
        <w:t xml:space="preserve">James</w:t>
      </w:r>
    </w:p>
    <w:p>
      <w:pPr>
        <w:spacing w:after="200"/>
      </w:pPr>
      <w:r>
        <w:rPr>
          <w:rFonts w:ascii="Arial" w:cs="Arial" w:eastAsia="Arial" w:hAnsi="Arial"/>
          <w:i/>
          <w:iCs/>
          <w:color w:val="666666"/>
          <w:sz w:val="19"/>
          <w:szCs w:val="19"/>
        </w:rPr>
        <w:t xml:space="preserve">Senior Underwriter — Technology &amp; Cyber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Lena Braun &lt;l.braun@zurich-re.internal&gt;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James Hartley &lt;j.hartley@zurich-re.internal&gt;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Cc:</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Raj Mehta &lt;r.mehta@zurich-re.internal&gt;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19 September 2025, 15:08</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MSFT cyber breach — development benchmarks + reserving concerns</w:t>
            </w:r>
          </w:p>
        </w:tc>
      </w:tr>
    </w:tbl>
    <w:p>
      <w:pPr>
        <w:spacing w:after="60"/>
      </w:pPr>
    </w:p>
    <w:p>
      <w:pPr>
        <w:spacing w:after="120"/>
      </w:pPr>
      <w:r>
        <w:rPr>
          <w:rFonts w:ascii="Arial" w:cs="Arial" w:eastAsia="Arial" w:hAnsi="Arial"/>
          <w:sz w:val="21"/>
          <w:szCs w:val="21"/>
        </w:rPr>
        <w:t xml:space="preserve">James,</w:t>
      </w:r>
    </w:p>
    <w:p>
      <w:pPr>
        <w:spacing w:after="60"/>
      </w:pPr>
    </w:p>
    <w:p>
      <w:pPr>
        <w:spacing w:after="120"/>
      </w:pPr>
      <w:r>
        <w:rPr>
          <w:rFonts w:ascii="Arial" w:cs="Arial" w:eastAsia="Arial" w:hAnsi="Arial"/>
          <w:sz w:val="21"/>
          <w:szCs w:val="21"/>
        </w:rPr>
        <w:t xml:space="preserve">I’ve pulled the development data you asked for. The picture isn’t reassuring.</w:t>
      </w:r>
    </w:p>
    <w:p>
      <w:pPr>
        <w:spacing w:after="60"/>
      </w:pPr>
    </w:p>
    <w:p>
      <w:pPr>
        <w:spacing w:after="120"/>
      </w:pPr>
      <w:r>
        <w:rPr>
          <w:rFonts w:ascii="Arial" w:cs="Arial" w:eastAsia="Arial" w:hAnsi="Arial"/>
          <w:b/>
          <w:bCs/>
          <w:sz w:val="21"/>
          <w:szCs w:val="21"/>
        </w:rPr>
        <w:t xml:space="preserve">Paid-to-ultimate development on comparable cyber events:</w:t>
      </w:r>
    </w:p>
    <w:p>
      <w:pPr>
        <w:spacing w:after="120"/>
      </w:pPr>
      <w:r>
        <w:rPr>
          <w:rFonts w:ascii="Arial" w:cs="Arial" w:eastAsia="Arial" w:hAnsi="Arial"/>
          <w:sz w:val="21"/>
          <w:szCs w:val="21"/>
        </w:rPr>
        <w:t xml:space="preserve">•  SolarWinds-adjacent (2022): first reserve $8M → ultimate $47M (5.9x development). Time to ultimate: 26 months. Driven by regulatory fines and third-party notification costs that emerged 9–12 months after initial report.</w:t>
      </w:r>
    </w:p>
    <w:p>
      <w:pPr>
        <w:spacing w:after="120"/>
      </w:pPr>
      <w:r>
        <w:rPr>
          <w:rFonts w:ascii="Arial" w:cs="Arial" w:eastAsia="Arial" w:hAnsi="Arial"/>
          <w:sz w:val="21"/>
          <w:szCs w:val="21"/>
        </w:rPr>
        <w:t xml:space="preserve">•  MOVEit (2023): first reserve $3.2M → ultimate $28M (8.8x development). 80% of the ultimate was third-party liability costs that weren’t in the initial scope.</w:t>
      </w:r>
    </w:p>
    <w:p>
      <w:pPr>
        <w:spacing w:after="120"/>
      </w:pPr>
      <w:r>
        <w:rPr>
          <w:rFonts w:ascii="Arial" w:cs="Arial" w:eastAsia="Arial" w:hAnsi="Arial"/>
          <w:sz w:val="21"/>
          <w:szCs w:val="21"/>
        </w:rPr>
        <w:t xml:space="preserve">•  Healthcare ransomware (Q1 2024): first reserve $6M → current incurred $19M, still open. Development factor so far: 3.2x at 18 months. Expected ultimate: $22–25M.</w:t>
      </w:r>
    </w:p>
    <w:p>
      <w:pPr>
        <w:spacing w:after="60"/>
      </w:pPr>
    </w:p>
    <w:p>
      <w:pPr>
        <w:spacing w:after="120"/>
      </w:pPr>
      <w:r>
        <w:rPr>
          <w:rFonts w:ascii="Arial" w:cs="Arial" w:eastAsia="Arial" w:hAnsi="Arial"/>
          <w:b/>
          <w:bCs/>
          <w:sz w:val="21"/>
          <w:szCs w:val="21"/>
        </w:rPr>
        <w:t xml:space="preserve">The pattern is clear: </w:t>
      </w:r>
      <w:r>
        <w:rPr>
          <w:rFonts w:ascii="Arial" w:cs="Arial" w:eastAsia="Arial" w:hAnsi="Arial"/>
          <w:sz w:val="21"/>
          <w:szCs w:val="21"/>
        </w:rPr>
        <w:t xml:space="preserve">cyber claims involving government data or regulated industries develop 5–10x from first reserve. The initial $17.4M gross incurred ($5.4M paid + $12M O/S) on the MSFT breach is almost certainly understated. Applying a conservative 5x development factor gives an expected ultimate of $87M. At 8x (the MOVEit benchmark), we’re at $139M.</w:t>
      </w:r>
    </w:p>
    <w:p>
      <w:pPr>
        <w:spacing w:after="60"/>
      </w:pPr>
    </w:p>
    <w:p>
      <w:pPr>
        <w:spacing w:after="120"/>
      </w:pPr>
      <w:r>
        <w:rPr>
          <w:rFonts w:ascii="Arial" w:cs="Arial" w:eastAsia="Arial" w:hAnsi="Arial"/>
          <w:b/>
          <w:bCs/>
          <w:sz w:val="21"/>
          <w:szCs w:val="21"/>
        </w:rPr>
        <w:t xml:space="preserve">My concern with the loss triangle: </w:t>
      </w:r>
      <w:r>
        <w:rPr>
          <w:rFonts w:ascii="Arial" w:cs="Arial" w:eastAsia="Arial" w:hAnsi="Arial"/>
          <w:sz w:val="21"/>
          <w:szCs w:val="21"/>
        </w:rPr>
        <w:t xml:space="preserve">The development triangle in the MSFT BDX treats cyber claims on the same curve as conventional property and D&amp;O claims. This is wrong. Cyber has a fundamentally different development tail—short and quiet for the first 6–12 months (while forensics run), then a steep spike when regulatory actions and class actions materialise. If we’re using a blended triangle to set IBNR, we’re systematically under-reserving the cyber tail.</w:t>
      </w:r>
    </w:p>
    <w:p>
      <w:pPr>
        <w:spacing w:after="60"/>
      </w:pPr>
    </w:p>
    <w:p>
      <w:pPr>
        <w:spacing w:after="120"/>
      </w:pPr>
      <w:r>
        <w:rPr>
          <w:rFonts w:ascii="Arial" w:cs="Arial" w:eastAsia="Arial" w:hAnsi="Arial"/>
          <w:b/>
          <w:bCs/>
          <w:sz w:val="21"/>
          <w:szCs w:val="21"/>
        </w:rPr>
        <w:t xml:space="preserve">Recommendation: </w:t>
      </w:r>
      <w:r>
        <w:rPr>
          <w:rFonts w:ascii="Arial" w:cs="Arial" w:eastAsia="Arial" w:hAnsi="Arial"/>
          <w:sz w:val="21"/>
          <w:szCs w:val="21"/>
        </w:rPr>
        <w:t xml:space="preserve">I want to split the loss triangle into two: a “short tail” triangle for property/BI (12–18 month development) and a “long tail” triangle for cyber and D&amp;O (36–48 month development). The blended triangle in the current BDX is masking the cyber tail risk. I’ll prepare the split for the Q4 reserve review.</w:t>
      </w:r>
    </w:p>
    <w:p>
      <w:pPr>
        <w:spacing w:after="60"/>
      </w:pPr>
    </w:p>
    <w:p>
      <w:pPr>
        <w:spacing w:after="120"/>
      </w:pPr>
      <w:r>
        <w:rPr>
          <w:rFonts w:ascii="Arial" w:cs="Arial" w:eastAsia="Arial" w:hAnsi="Arial"/>
          <w:sz w:val="21"/>
          <w:szCs w:val="21"/>
        </w:rPr>
        <w:t xml:space="preserve">I’m also flagging that our IBNR provision of $2M on the cyber line looks dangerously low in light of these benchmarks. I’d recommend moving it to at least $25M pending the forensics outcome.</w:t>
      </w:r>
    </w:p>
    <w:p>
      <w:pPr>
        <w:spacing w:after="60"/>
      </w:pPr>
    </w:p>
    <w:p>
      <w:pPr>
        <w:spacing w:after="40"/>
      </w:pPr>
      <w:r>
        <w:rPr>
          <w:rFonts w:ascii="Arial" w:cs="Arial" w:eastAsia="Arial" w:hAnsi="Arial"/>
          <w:b/>
          <w:bCs/>
          <w:sz w:val="21"/>
          <w:szCs w:val="21"/>
        </w:rPr>
        <w:t xml:space="preserve">Dr. Lena Braun</w:t>
      </w:r>
    </w:p>
    <w:p>
      <w:pPr>
        <w:spacing w:after="200"/>
      </w:pPr>
      <w:r>
        <w:rPr>
          <w:rFonts w:ascii="Arial" w:cs="Arial" w:eastAsia="Arial" w:hAnsi="Arial"/>
          <w:i/>
          <w:iCs/>
          <w:color w:val="666666"/>
          <w:sz w:val="19"/>
          <w:szCs w:val="19"/>
        </w:rPr>
        <w:t xml:space="preserve">Actuarial Lead — Reserving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Raj Mehta &lt;r.mehta@zurich-re.internal&gt;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James Hartley &lt;j.hartley@zurich-re.internal&gt;; Dr. Lena Braun &lt;l.braun@zurich-re.internal&gt;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22 September 2025, 10:31</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Azure Gov Cloud breach — systemic risk assessment + pricing model gap</w:t>
            </w:r>
          </w:p>
        </w:tc>
      </w:tr>
    </w:tbl>
    <w:p>
      <w:pPr>
        <w:spacing w:after="60"/>
      </w:pPr>
    </w:p>
    <w:p>
      <w:pPr>
        <w:spacing w:after="120"/>
      </w:pPr>
      <w:r>
        <w:rPr>
          <w:rFonts w:ascii="Arial" w:cs="Arial" w:eastAsia="Arial" w:hAnsi="Arial"/>
          <w:sz w:val="21"/>
          <w:szCs w:val="21"/>
        </w:rPr>
        <w:t xml:space="preserve">James, Lena,</w:t>
      </w:r>
    </w:p>
    <w:p>
      <w:pPr>
        <w:spacing w:after="60"/>
      </w:pPr>
    </w:p>
    <w:p>
      <w:pPr>
        <w:spacing w:after="120"/>
      </w:pPr>
      <w:r>
        <w:rPr>
          <w:rFonts w:ascii="Arial" w:cs="Arial" w:eastAsia="Arial" w:hAnsi="Arial"/>
          <w:sz w:val="21"/>
          <w:szCs w:val="21"/>
        </w:rPr>
        <w:t xml:space="preserve">I’ve run the breach through our cyber accumulation model and there’s a structural issue I need to flag.</w:t>
      </w:r>
    </w:p>
    <w:p>
      <w:pPr>
        <w:spacing w:after="60"/>
      </w:pPr>
    </w:p>
    <w:p>
      <w:pPr>
        <w:spacing w:after="120"/>
      </w:pPr>
      <w:r>
        <w:rPr>
          <w:rFonts w:ascii="Arial" w:cs="Arial" w:eastAsia="Arial" w:hAnsi="Arial"/>
          <w:b/>
          <w:bCs/>
          <w:sz w:val="21"/>
          <w:szCs w:val="21"/>
        </w:rPr>
        <w:t xml:space="preserve">Single point of failure. </w:t>
      </w:r>
      <w:r>
        <w:rPr>
          <w:rFonts w:ascii="Arial" w:cs="Arial" w:eastAsia="Arial" w:hAnsi="Arial"/>
          <w:sz w:val="21"/>
          <w:szCs w:val="21"/>
        </w:rPr>
        <w:t xml:space="preserve">The ADFS authentication layer that was compromised serves as the identity provider for all Azure Government tenancies in the US East region. This means one vulnerability gave the attacker potential access to the authentication tokens for every government client on that cluster. This isn’t a “one company got breached” event—it’s a “the platform got breached” event. The distinction matters enormously for reserving because Microsoft’s liability extends to every tenant whose data may have been exposed, not just the tenants where exfiltration is confirmed.</w:t>
      </w:r>
    </w:p>
    <w:p>
      <w:pPr>
        <w:spacing w:after="60"/>
      </w:pPr>
    </w:p>
    <w:p>
      <w:pPr>
        <w:spacing w:after="120"/>
      </w:pPr>
      <w:r>
        <w:rPr>
          <w:rFonts w:ascii="Arial" w:cs="Arial" w:eastAsia="Arial" w:hAnsi="Arial"/>
          <w:b/>
          <w:bCs/>
          <w:sz w:val="21"/>
          <w:szCs w:val="21"/>
        </w:rPr>
        <w:t xml:space="preserve">Pricing model gap. </w:t>
      </w:r>
      <w:r>
        <w:rPr>
          <w:rFonts w:ascii="Arial" w:cs="Arial" w:eastAsia="Arial" w:hAnsi="Arial"/>
          <w:sz w:val="21"/>
          <w:szCs w:val="21"/>
        </w:rPr>
        <w:t xml:space="preserve">Our current model treats “Microsoft — Cyber” as a single $12B exposure with a 0.40% base rate, generating ~$48M technical premium. But the model doesn’t distinguish between (a) commercial Azure, (b) Azure Government, and (c) Microsoft 365/consumer services. The risk profile is fundamentally different. Government cloud breaches carry regulatory multipliers (FISMA/FedRAMP penalties, Congressional scrutiny, mandatory CISA notifications) that don’t apply to commercial cloud. A government cloud-only breach could generate 3–5x the loss of an equivalent commercial breach.</w:t>
      </w:r>
    </w:p>
    <w:p>
      <w:pPr>
        <w:spacing w:after="60"/>
      </w:pPr>
    </w:p>
    <w:p>
      <w:pPr>
        <w:spacing w:after="120"/>
      </w:pPr>
      <w:r>
        <w:rPr>
          <w:rFonts w:ascii="Arial" w:cs="Arial" w:eastAsia="Arial" w:hAnsi="Arial"/>
          <w:b/>
          <w:bCs/>
          <w:sz w:val="21"/>
          <w:szCs w:val="21"/>
        </w:rPr>
        <w:t xml:space="preserve">Correlation with D&amp;O. </w:t>
      </w:r>
      <w:r>
        <w:rPr>
          <w:rFonts w:ascii="Arial" w:cs="Arial" w:eastAsia="Arial" w:hAnsi="Arial"/>
          <w:sz w:val="21"/>
          <w:szCs w:val="21"/>
        </w:rPr>
        <w:t xml:space="preserve">There’s a knock-on I don’t think we’ve priced for. If this breach becomes public (and FISMA breach notifications are mandatory), Microsoft’s share price will take a hit. The last comparable event (the 2020 SolarWinds disclosure) wiped ~8% off the stock in the first week. That creates potential shareholder derivative claims under the D&amp;O cover—alleging the board failed to invest adequately in cloud security. Our D&amp;O line and our cyber line would be hit simultaneously from the same underlying event. The BDX treats these as independent claims but they’re correlated.</w:t>
      </w:r>
    </w:p>
    <w:p>
      <w:pPr>
        <w:spacing w:after="60"/>
      </w:pPr>
    </w:p>
    <w:p>
      <w:pPr>
        <w:spacing w:after="120"/>
      </w:pPr>
      <w:r>
        <w:rPr>
          <w:rFonts w:ascii="Arial" w:cs="Arial" w:eastAsia="Arial" w:hAnsi="Arial"/>
          <w:sz w:val="21"/>
          <w:szCs w:val="21"/>
        </w:rPr>
        <w:t xml:space="preserve">I’d recommend we add a correlation loading of 15–20% to the combined cyber + D&amp;O premium to account for this shared-event exposure. I’ve attached a one-page brief on the accumulation risk to the shared drive.</w:t>
      </w:r>
    </w:p>
    <w:p>
      <w:pPr>
        <w:spacing w:after="60"/>
      </w:pPr>
    </w:p>
    <w:p>
      <w:pPr>
        <w:spacing w:after="40"/>
      </w:pPr>
      <w:r>
        <w:rPr>
          <w:rFonts w:ascii="Arial" w:cs="Arial" w:eastAsia="Arial" w:hAnsi="Arial"/>
          <w:b/>
          <w:bCs/>
          <w:sz w:val="21"/>
          <w:szCs w:val="21"/>
        </w:rPr>
        <w:t xml:space="preserve">Raj</w:t>
      </w:r>
    </w:p>
    <w:p>
      <w:pPr>
        <w:spacing w:after="200"/>
      </w:pPr>
      <w:r>
        <w:rPr>
          <w:rFonts w:ascii="Arial" w:cs="Arial" w:eastAsia="Arial" w:hAnsi="Arial"/>
          <w:i/>
          <w:iCs/>
          <w:color w:val="666666"/>
          <w:sz w:val="19"/>
          <w:szCs w:val="19"/>
        </w:rPr>
        <w:t xml:space="preserve">Head of Cyber Risk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James Hartley &lt;j.hartley@zurich-re.internal&gt;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Lena Braun &lt;l.braun@zurich-re.internal&gt;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Cc:</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Fiona Walsh &lt;f.walsh@zurich-re.internal&gt;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8 October 2025, 11:55</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MSFT data centre claims — cooling system failure + SOV concentration concern</w:t>
            </w:r>
          </w:p>
        </w:tc>
      </w:tr>
    </w:tbl>
    <w:p>
      <w:pPr>
        <w:spacing w:after="60"/>
      </w:pPr>
    </w:p>
    <w:p>
      <w:pPr>
        <w:spacing w:after="120"/>
      </w:pPr>
      <w:r>
        <w:rPr>
          <w:rFonts w:ascii="Arial" w:cs="Arial" w:eastAsia="Arial" w:hAnsi="Arial"/>
          <w:sz w:val="21"/>
          <w:szCs w:val="21"/>
        </w:rPr>
        <w:t xml:space="preserve">Lena,</w:t>
      </w:r>
    </w:p>
    <w:p>
      <w:pPr>
        <w:spacing w:after="60"/>
      </w:pPr>
    </w:p>
    <w:p>
      <w:pPr>
        <w:spacing w:after="120"/>
      </w:pPr>
      <w:r>
        <w:rPr>
          <w:rFonts w:ascii="Arial" w:cs="Arial" w:eastAsia="Arial" w:hAnsi="Arial"/>
          <w:sz w:val="21"/>
          <w:szCs w:val="21"/>
        </w:rPr>
        <w:t xml:space="preserve">Copying Fiona as this touches on portfolio-level exposure management. Two related issues on the data centre book.</w:t>
      </w:r>
    </w:p>
    <w:p>
      <w:pPr>
        <w:spacing w:after="60"/>
      </w:pPr>
    </w:p>
    <w:p>
      <w:pPr>
        <w:spacing w:after="120"/>
      </w:pPr>
      <w:r>
        <w:rPr>
          <w:rFonts w:ascii="Arial" w:cs="Arial" w:eastAsia="Arial" w:hAnsi="Arial"/>
          <w:b/>
          <w:bCs/>
          <w:sz w:val="21"/>
          <w:szCs w:val="21"/>
        </w:rPr>
        <w:t xml:space="preserve">1. Quincy cooling system failure (CLM-MSFT-2025-001). </w:t>
      </w:r>
      <w:r>
        <w:rPr>
          <w:rFonts w:ascii="Arial" w:cs="Arial" w:eastAsia="Arial" w:hAnsi="Arial"/>
          <w:sz w:val="21"/>
          <w:szCs w:val="21"/>
        </w:rPr>
        <w:t xml:space="preserve">The cooling claim at the Quincy WA data centre is developing faster than expected. The initial reserve was $2.35M for the chiller replacement, but Crawford’s latest report reveals the root cause was a glycol leak that corroded the secondary cooling loop over 6–12 months before the catastrophic failure. This means we’re not just replacing one chiller—we’re looking at a full inspection and potential replacement of the entire secondary loop across Rows C through F of the facility. Crawford’s revised estimate is $4.8M for remediation, plus an additional $1.2M in BI for the capacity reduction during the works (Microsoft is routing overflow traffic to Des Moines at premium peering rates).</w:t>
      </w:r>
    </w:p>
    <w:p>
      <w:pPr>
        <w:spacing w:after="60"/>
      </w:pPr>
    </w:p>
    <w:p>
      <w:pPr>
        <w:spacing w:after="120"/>
      </w:pPr>
      <w:r>
        <w:rPr>
          <w:rFonts w:ascii="Arial" w:cs="Arial" w:eastAsia="Arial" w:hAnsi="Arial"/>
          <w:b/>
          <w:bCs/>
          <w:sz w:val="21"/>
          <w:szCs w:val="21"/>
        </w:rPr>
        <w:t xml:space="preserve">The BDX claim is booked at $3.45M total incurred. </w:t>
      </w:r>
      <w:r>
        <w:rPr>
          <w:rFonts w:ascii="Arial" w:cs="Arial" w:eastAsia="Arial" w:hAnsi="Arial"/>
          <w:sz w:val="21"/>
          <w:szCs w:val="21"/>
        </w:rPr>
        <w:t xml:space="preserve">I think the realistic ultimate is $6–7M. Not a huge number on its own, but it flags a systemic concern.</w:t>
      </w:r>
    </w:p>
    <w:p>
      <w:pPr>
        <w:spacing w:after="60"/>
      </w:pPr>
    </w:p>
    <w:p>
      <w:pPr>
        <w:spacing w:after="120"/>
      </w:pPr>
      <w:r>
        <w:rPr>
          <w:rFonts w:ascii="Arial" w:cs="Arial" w:eastAsia="Arial" w:hAnsi="Arial"/>
          <w:b/>
          <w:bCs/>
          <w:sz w:val="21"/>
          <w:szCs w:val="21"/>
        </w:rPr>
        <w:t xml:space="preserve">2. SOV concentration risk. </w:t>
      </w:r>
      <w:r>
        <w:rPr>
          <w:rFonts w:ascii="Arial" w:cs="Arial" w:eastAsia="Arial" w:hAnsi="Arial"/>
          <w:sz w:val="21"/>
          <w:szCs w:val="21"/>
        </w:rPr>
        <w:t xml:space="preserve">Looking at the schedule of values, the top 3 data centres (Quincy, San Antonio, Boydton) represent $25.8B of the $50B total TIV—that’s 52% of the exposure in 3 locations. More concerning: Quincy and Des Moines are on the same power grid (BPA Columbia River hydro), and in a drought year, both could face simultaneous power constraints. The SOV doesn’t capture this infrastructure correlation.</w:t>
      </w:r>
    </w:p>
    <w:p>
      <w:pPr>
        <w:spacing w:after="60"/>
      </w:pPr>
    </w:p>
    <w:p>
      <w:pPr>
        <w:spacing w:after="120"/>
      </w:pPr>
      <w:r>
        <w:rPr>
          <w:rFonts w:ascii="Arial" w:cs="Arial" w:eastAsia="Arial" w:hAnsi="Arial"/>
          <w:b/>
          <w:bCs/>
          <w:sz w:val="21"/>
          <w:szCs w:val="21"/>
        </w:rPr>
        <w:t xml:space="preserve">I’ve been looking at the BI values </w:t>
      </w:r>
      <w:r>
        <w:rPr>
          <w:rFonts w:ascii="Arial" w:cs="Arial" w:eastAsia="Arial" w:hAnsi="Arial"/>
          <w:sz w:val="21"/>
          <w:szCs w:val="21"/>
        </w:rPr>
        <w:t xml:space="preserve">and something doesn’t add up. Quincy is listed at $5.8B BI (12-month) but San Antonio—which Microsoft has publicly stated is their largest single data centre by capacity—is listed at only $4.5B. Either the Quincy figure includes revenue from services that have since migrated to other sites, or the San Antonio figure is understated. Both affect the premium calculation in the rating sheet. Can you flag this for the renewal data call?</w:t>
      </w:r>
    </w:p>
    <w:p>
      <w:pPr>
        <w:spacing w:after="60"/>
      </w:pPr>
    </w:p>
    <w:p>
      <w:pPr>
        <w:spacing w:after="120"/>
      </w:pPr>
      <w:r>
        <w:rPr>
          <w:rFonts w:ascii="Arial" w:cs="Arial" w:eastAsia="Arial" w:hAnsi="Arial"/>
          <w:sz w:val="21"/>
          <w:szCs w:val="21"/>
        </w:rPr>
        <w:t xml:space="preserve">I’d like to propose we add a “common infrastructure” loading of 8–12% to the data centre property/BI premium to account for the power grid correlation that the SOV doesn’t capture. Happy to discuss at Thursday’s portfolio review.</w:t>
      </w:r>
    </w:p>
    <w:p>
      <w:pPr>
        <w:spacing w:after="60"/>
      </w:pPr>
    </w:p>
    <w:p>
      <w:pPr>
        <w:spacing w:after="40"/>
      </w:pPr>
      <w:r>
        <w:rPr>
          <w:rFonts w:ascii="Arial" w:cs="Arial" w:eastAsia="Arial" w:hAnsi="Arial"/>
          <w:b/>
          <w:bCs/>
          <w:sz w:val="21"/>
          <w:szCs w:val="21"/>
        </w:rPr>
        <w:t xml:space="preserve">James</w:t>
      </w:r>
    </w:p>
    <w:p>
      <w:pPr>
        <w:spacing w:after="200"/>
      </w:pPr>
      <w:r>
        <w:rPr>
          <w:rFonts w:ascii="Arial" w:cs="Arial" w:eastAsia="Arial" w:hAnsi="Arial"/>
          <w:i/>
          <w:iCs/>
          <w:color w:val="666666"/>
          <w:sz w:val="19"/>
          <w:szCs w:val="19"/>
        </w:rPr>
        <w:t xml:space="preserve">Senior Underwriter — Technology &amp; Cyber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Lena Braun &lt;l.braun@zurich-re.internal&gt;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Fiona Walsh &lt;f.walsh@zurich-re.internal&gt;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Cc:</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James Hartley &lt;j.hartley@zurich-re.internal&gt;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15 October 2025, 09:22</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MSFT GDPR fine (CLM-MSFT-2025-007) — insurability question + reserve treatment</w:t>
            </w:r>
          </w:p>
        </w:tc>
      </w:tr>
    </w:tbl>
    <w:p>
      <w:pPr>
        <w:spacing w:after="60"/>
      </w:pPr>
    </w:p>
    <w:p>
      <w:pPr>
        <w:spacing w:after="120"/>
      </w:pPr>
      <w:r>
        <w:rPr>
          <w:rFonts w:ascii="Arial" w:cs="Arial" w:eastAsia="Arial" w:hAnsi="Arial"/>
          <w:sz w:val="21"/>
          <w:szCs w:val="21"/>
        </w:rPr>
        <w:t xml:space="preserve">Fiona,</w:t>
      </w:r>
    </w:p>
    <w:p>
      <w:pPr>
        <w:spacing w:after="60"/>
      </w:pPr>
    </w:p>
    <w:p>
      <w:pPr>
        <w:spacing w:after="120"/>
      </w:pPr>
      <w:r>
        <w:rPr>
          <w:rFonts w:ascii="Arial" w:cs="Arial" w:eastAsia="Arial" w:hAnsi="Arial"/>
          <w:sz w:val="21"/>
          <w:szCs w:val="21"/>
        </w:rPr>
        <w:t xml:space="preserve">Flagging a reserve booking question that I think needs your input before it goes to committee.</w:t>
      </w:r>
    </w:p>
    <w:p>
      <w:pPr>
        <w:spacing w:after="60"/>
      </w:pPr>
    </w:p>
    <w:p>
      <w:pPr>
        <w:spacing w:after="120"/>
      </w:pPr>
      <w:r>
        <w:rPr>
          <w:rFonts w:ascii="Arial" w:cs="Arial" w:eastAsia="Arial" w:hAnsi="Arial"/>
          <w:b/>
          <w:bCs/>
          <w:sz w:val="21"/>
          <w:szCs w:val="21"/>
        </w:rPr>
        <w:t xml:space="preserve">The claim: </w:t>
      </w:r>
      <w:r>
        <w:rPr>
          <w:rFonts w:ascii="Arial" w:cs="Arial" w:eastAsia="Arial" w:hAnsi="Arial"/>
          <w:sz w:val="21"/>
          <w:szCs w:val="21"/>
        </w:rPr>
        <w:t xml:space="preserve">The Amsterdam data centre was subject to a GDPR Article 83 investigation by the Dutch DPA (Autoriteit Persoonsgegevens) following a complaint about data residency. Microsoft stored EU customer data on a US-based backup server for 72 hours during a failover event in March 2025. The DPA issued a €4.2M administrative fine in September. Microsoft’s lawyers are advising acceptance (not appeal). The claim is currently booked at $4.8M (converted at spot) under our D&amp;O line.</w:t>
      </w:r>
    </w:p>
    <w:p>
      <w:pPr>
        <w:spacing w:after="60"/>
      </w:pPr>
    </w:p>
    <w:p>
      <w:pPr>
        <w:spacing w:after="120"/>
      </w:pPr>
      <w:r>
        <w:rPr>
          <w:rFonts w:ascii="Arial" w:cs="Arial" w:eastAsia="Arial" w:hAnsi="Arial"/>
          <w:b/>
          <w:bCs/>
          <w:sz w:val="21"/>
          <w:szCs w:val="21"/>
        </w:rPr>
        <w:t xml:space="preserve">I have two issues:</w:t>
      </w:r>
    </w:p>
    <w:p>
      <w:pPr>
        <w:spacing w:after="60"/>
      </w:pPr>
    </w:p>
    <w:p>
      <w:pPr>
        <w:spacing w:after="120"/>
      </w:pPr>
      <w:r>
        <w:rPr>
          <w:rFonts w:ascii="Arial" w:cs="Arial" w:eastAsia="Arial" w:hAnsi="Arial"/>
          <w:b/>
          <w:bCs/>
          <w:sz w:val="21"/>
          <w:szCs w:val="21"/>
        </w:rPr>
        <w:t xml:space="preserve">a) Line of business allocation. </w:t>
      </w:r>
      <w:r>
        <w:rPr>
          <w:rFonts w:ascii="Arial" w:cs="Arial" w:eastAsia="Arial" w:hAnsi="Arial"/>
          <w:sz w:val="21"/>
          <w:szCs w:val="21"/>
        </w:rPr>
        <w:t xml:space="preserve">This is booked under D&amp;O in the BDX, but it’s arguably a cyber/data privacy claim. The cause was a technical failover that routed data to a US server—that’s a system configuration issue, not a board governance failure. If we book it under D&amp;O, it inflates the D&amp;O loss ratio and distorts the pricing signal for the D&amp;O renewal. If we book it under Cyber, it’s consistent with the risk profile but our cyber treaty wording has an explicit regulatory fine exclusion in some jurisdictions. Which line should carry this?</w:t>
      </w:r>
    </w:p>
    <w:p>
      <w:pPr>
        <w:spacing w:after="60"/>
      </w:pPr>
    </w:p>
    <w:p>
      <w:pPr>
        <w:spacing w:after="120"/>
      </w:pPr>
      <w:r>
        <w:rPr>
          <w:rFonts w:ascii="Arial" w:cs="Arial" w:eastAsia="Arial" w:hAnsi="Arial"/>
          <w:b/>
          <w:bCs/>
          <w:sz w:val="21"/>
          <w:szCs w:val="21"/>
        </w:rPr>
        <w:t xml:space="preserve">b) Insurability of the fine itself. </w:t>
      </w:r>
      <w:r>
        <w:rPr>
          <w:rFonts w:ascii="Arial" w:cs="Arial" w:eastAsia="Arial" w:hAnsi="Arial"/>
          <w:sz w:val="21"/>
          <w:szCs w:val="21"/>
        </w:rPr>
        <w:t xml:space="preserve">Under Dutch law, GDPR administrative fines are generally considered insurable (unlike some other EU jurisdictions). But our treaty wording is governed by Swiss law, which is ambiguous on this point. If the fine is ultimately deemed uninsurable, the $4.8M reserve should be released—but we’d still be on the hook for Microsoft’s defence costs (~$680K already paid). I don’t want to book a $4.8M reserve that might need to be released in 6 months, only to have the reserve committee question why we over-reserved. But I also don’t want to under-reserve if Swiss law supports insurability.</w:t>
      </w:r>
    </w:p>
    <w:p>
      <w:pPr>
        <w:spacing w:after="60"/>
      </w:pPr>
    </w:p>
    <w:p>
      <w:pPr>
        <w:spacing w:after="120"/>
      </w:pPr>
      <w:r>
        <w:rPr>
          <w:rFonts w:ascii="Arial" w:cs="Arial" w:eastAsia="Arial" w:hAnsi="Arial"/>
          <w:sz w:val="21"/>
          <w:szCs w:val="21"/>
        </w:rPr>
        <w:t xml:space="preserve">Can you get Legal’s view on the Swiss law position? I need an answer before the Q4 reserve close. In the meantime, I’m booking the full $4.8M with a “subject to legal review” flag.</w:t>
      </w:r>
    </w:p>
    <w:p>
      <w:pPr>
        <w:spacing w:after="60"/>
      </w:pPr>
    </w:p>
    <w:p>
      <w:pPr>
        <w:spacing w:after="40"/>
      </w:pPr>
      <w:r>
        <w:rPr>
          <w:rFonts w:ascii="Arial" w:cs="Arial" w:eastAsia="Arial" w:hAnsi="Arial"/>
          <w:b/>
          <w:bCs/>
          <w:sz w:val="21"/>
          <w:szCs w:val="21"/>
        </w:rPr>
        <w:t xml:space="preserve">Dr. Lena Braun</w:t>
      </w:r>
    </w:p>
    <w:p>
      <w:pPr>
        <w:spacing w:after="200"/>
      </w:pPr>
      <w:r>
        <w:rPr>
          <w:rFonts w:ascii="Arial" w:cs="Arial" w:eastAsia="Arial" w:hAnsi="Arial"/>
          <w:i/>
          <w:iCs/>
          <w:color w:val="666666"/>
          <w:sz w:val="19"/>
          <w:szCs w:val="19"/>
        </w:rPr>
        <w:t xml:space="preserve">Actuarial Lead — Reserving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Fiona Walsh &lt;f.walsh@zurich-re.internal&gt;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Lena Braun &lt;l.braun@zurich-re.internal&gt;; James Hartley &lt;j.hartley@zurich-re.internal&gt;; Raj Mehta &lt;r.mehta@zurich-re.internal&gt;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20 October 2025, 16:40</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MSFT account — strategic position + renewal guidance</w:t>
            </w:r>
          </w:p>
        </w:tc>
      </w:tr>
    </w:tbl>
    <w:p>
      <w:pPr>
        <w:spacing w:after="60"/>
      </w:pPr>
    </w:p>
    <w:p>
      <w:pPr>
        <w:spacing w:after="120"/>
      </w:pPr>
      <w:r>
        <w:rPr>
          <w:rFonts w:ascii="Arial" w:cs="Arial" w:eastAsia="Arial" w:hAnsi="Arial"/>
          <w:sz w:val="21"/>
          <w:szCs w:val="21"/>
        </w:rPr>
        <w:t xml:space="preserve">Team,</w:t>
      </w:r>
    </w:p>
    <w:p>
      <w:pPr>
        <w:spacing w:after="60"/>
      </w:pPr>
    </w:p>
    <w:p>
      <w:pPr>
        <w:spacing w:after="120"/>
      </w:pPr>
      <w:r>
        <w:rPr>
          <w:rFonts w:ascii="Arial" w:cs="Arial" w:eastAsia="Arial" w:hAnsi="Arial"/>
          <w:sz w:val="21"/>
          <w:szCs w:val="21"/>
        </w:rPr>
        <w:t xml:space="preserve">I’ve been following this thread and want to give you strategic context before we go into the renewal cycle.</w:t>
      </w:r>
    </w:p>
    <w:p>
      <w:pPr>
        <w:spacing w:after="60"/>
      </w:pPr>
    </w:p>
    <w:p>
      <w:pPr>
        <w:spacing w:after="120"/>
      </w:pPr>
      <w:r>
        <w:rPr>
          <w:rFonts w:ascii="Arial" w:cs="Arial" w:eastAsia="Arial" w:hAnsi="Arial"/>
          <w:b/>
          <w:bCs/>
          <w:sz w:val="21"/>
          <w:szCs w:val="21"/>
        </w:rPr>
        <w:t xml:space="preserve">The Microsoft account has been profitable over 5 years, </w:t>
      </w:r>
      <w:r>
        <w:rPr>
          <w:rFonts w:ascii="Arial" w:cs="Arial" w:eastAsia="Arial" w:hAnsi="Arial"/>
          <w:sz w:val="21"/>
          <w:szCs w:val="21"/>
        </w:rPr>
        <w:t xml:space="preserve">but 2025 is a wake-up call. The blended combined ratio 2020–2024 was ~88%. The 2025 YTD combined ratio (including the cyber breach at initial reserves) is around 108%. If Lena’s development benchmarks are right and the cyber claim develops to $87–139M, the 2025 combined ratio could reach 135–150%. That’s painful but not existential—one bad cyber year doesn’t erase 4 profitable years.</w:t>
      </w:r>
    </w:p>
    <w:p>
      <w:pPr>
        <w:spacing w:after="60"/>
      </w:pPr>
    </w:p>
    <w:p>
      <w:pPr>
        <w:spacing w:after="120"/>
      </w:pPr>
      <w:r>
        <w:rPr>
          <w:rFonts w:ascii="Arial" w:cs="Arial" w:eastAsia="Arial" w:hAnsi="Arial"/>
          <w:b/>
          <w:bCs/>
          <w:sz w:val="21"/>
          <w:szCs w:val="21"/>
        </w:rPr>
        <w:t xml:space="preserve">Here’s my renewal strategy guidance:</w:t>
      </w:r>
    </w:p>
    <w:p>
      <w:pPr>
        <w:spacing w:after="60"/>
      </w:pPr>
    </w:p>
    <w:p>
      <w:pPr>
        <w:spacing w:after="120"/>
      </w:pPr>
      <w:r>
        <w:rPr>
          <w:rFonts w:ascii="Arial" w:cs="Arial" w:eastAsia="Arial" w:hAnsi="Arial"/>
          <w:b/>
          <w:bCs/>
          <w:sz w:val="21"/>
          <w:szCs w:val="21"/>
        </w:rPr>
        <w:t xml:space="preserve">1. We renew, but with structural changes. </w:t>
      </w:r>
      <w:r>
        <w:rPr>
          <w:rFonts w:ascii="Arial" w:cs="Arial" w:eastAsia="Arial" w:hAnsi="Arial"/>
          <w:sz w:val="21"/>
          <w:szCs w:val="21"/>
        </w:rPr>
        <w:t xml:space="preserve">Microsoft is a cornerstone account and walking away sends the wrong signal to Marsh. But I want to restructure the cyber cover. Specifically: (a) split the cyber tower into Commercial Cloud and Government Cloud sub-limits, (b) increase the Government Cloud rate by 40–60% to reflect the regulatory tail risk Raj identified, and (c) introduce a $10M per-occurrence deductible on cyber (currently $0 excess, which is far too generous for a $12B exposure).</w:t>
      </w:r>
    </w:p>
    <w:p>
      <w:pPr>
        <w:spacing w:after="60"/>
      </w:pPr>
    </w:p>
    <w:p>
      <w:pPr>
        <w:spacing w:after="120"/>
      </w:pPr>
      <w:r>
        <w:rPr>
          <w:rFonts w:ascii="Arial" w:cs="Arial" w:eastAsia="Arial" w:hAnsi="Arial"/>
          <w:b/>
          <w:bCs/>
          <w:sz w:val="21"/>
          <w:szCs w:val="21"/>
        </w:rPr>
        <w:t xml:space="preserve">2. Data centre property — require updated SOV data. </w:t>
      </w:r>
      <w:r>
        <w:rPr>
          <w:rFonts w:ascii="Arial" w:cs="Arial" w:eastAsia="Arial" w:hAnsi="Arial"/>
          <w:sz w:val="21"/>
          <w:szCs w:val="21"/>
        </w:rPr>
        <w:t xml:space="preserve">James’s point about the BI values not adding up is concerning. I’m not prepared to renew until we have a reconciled SOV with (a) current production capacity per site, (b) migration/failover dependencies, and (c) common infrastructure exposures (power grid, water for cooling, fibre routes). If Microsoft can’t provide this within 30 days of renewal, we apply a 15% “data uncertainty” loading to the property/BI premium.</w:t>
      </w:r>
    </w:p>
    <w:p>
      <w:pPr>
        <w:spacing w:after="60"/>
      </w:pPr>
    </w:p>
    <w:p>
      <w:pPr>
        <w:spacing w:after="120"/>
      </w:pPr>
      <w:r>
        <w:rPr>
          <w:rFonts w:ascii="Arial" w:cs="Arial" w:eastAsia="Arial" w:hAnsi="Arial"/>
          <w:b/>
          <w:bCs/>
          <w:sz w:val="21"/>
          <w:szCs w:val="21"/>
        </w:rPr>
        <w:t xml:space="preserve">3. D&amp;O / GDPR — clarify the wording. </w:t>
      </w:r>
      <w:r>
        <w:rPr>
          <w:rFonts w:ascii="Arial" w:cs="Arial" w:eastAsia="Arial" w:hAnsi="Arial"/>
          <w:sz w:val="21"/>
          <w:szCs w:val="21"/>
        </w:rPr>
        <w:t xml:space="preserve">On Lena’s question: I’ve spoken to Legal. Their preliminary view is that Swiss law does not prohibit insurance of GDPR administrative fines, but there’s no binding precedent. For the renewal, I want to add explicit regulatory fine cover with a sub-limit of $25M and a co-insurance provision (80/20 insurer/insured) so Microsoft retains skin in the game. This also solves the LOB allocation problem—regulatory fines go in their own sub-class regardless of whether the root cause is cyber or D&amp;O.</w:t>
      </w:r>
    </w:p>
    <w:p>
      <w:pPr>
        <w:spacing w:after="60"/>
      </w:pPr>
    </w:p>
    <w:p>
      <w:pPr>
        <w:spacing w:after="120"/>
      </w:pPr>
      <w:r>
        <w:rPr>
          <w:rFonts w:ascii="Arial" w:cs="Arial" w:eastAsia="Arial" w:hAnsi="Arial"/>
          <w:sz w:val="21"/>
          <w:szCs w:val="21"/>
        </w:rPr>
        <w:t xml:space="preserve">Lena—please model the renewal pricing under these structural changes. I want to see: (a) current terms with rate increases only, (b) restructured terms as above, and (c) a walk-away scenario showing the profit we’d forgo. Ideally by 5 November.</w:t>
      </w:r>
    </w:p>
    <w:p>
      <w:pPr>
        <w:spacing w:after="60"/>
      </w:pPr>
    </w:p>
    <w:p>
      <w:pPr>
        <w:spacing w:after="120"/>
      </w:pPr>
      <w:r>
        <w:rPr>
          <w:rFonts w:ascii="Arial" w:cs="Arial" w:eastAsia="Arial" w:hAnsi="Arial"/>
          <w:sz w:val="21"/>
          <w:szCs w:val="21"/>
        </w:rPr>
        <w:t xml:space="preserve">James—start the conversation with Marsh now. Don’t lead with the rate increase; lead with the structural improvements. Position the Government Cloud sub-limit as “enhanced cover” rather than “restriction.” Marsh will push back but the market is behind us on this—every major reinsurer is repricing government cloud risk post-2025.</w:t>
      </w:r>
    </w:p>
    <w:p>
      <w:pPr>
        <w:spacing w:after="60"/>
      </w:pPr>
    </w:p>
    <w:p>
      <w:pPr>
        <w:spacing w:after="40"/>
      </w:pPr>
      <w:r>
        <w:rPr>
          <w:rFonts w:ascii="Arial" w:cs="Arial" w:eastAsia="Arial" w:hAnsi="Arial"/>
          <w:b/>
          <w:bCs/>
          <w:sz w:val="21"/>
          <w:szCs w:val="21"/>
        </w:rPr>
        <w:t xml:space="preserve">Fiona</w:t>
      </w:r>
    </w:p>
    <w:p>
      <w:pPr>
        <w:spacing w:after="200"/>
      </w:pPr>
      <w:r>
        <w:rPr>
          <w:rFonts w:ascii="Arial" w:cs="Arial" w:eastAsia="Arial" w:hAnsi="Arial"/>
          <w:i/>
          <w:iCs/>
          <w:color w:val="666666"/>
          <w:sz w:val="19"/>
          <w:szCs w:val="19"/>
        </w:rPr>
        <w:t xml:space="preserve">VP Underwriting — BU1 Technology &amp; Cyber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Lena Braun &lt;l.braun@zurich-re.internal&gt;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Fiona Walsh &lt;f.walsh@zurich-re.internal&gt;; James Hartley &lt;j.hartley@zurich-re.internal&gt;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28 October 2025, 14:15</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MSFT — loss triangle split complete + BDX format issue for BU alignment</w:t>
            </w:r>
          </w:p>
        </w:tc>
      </w:tr>
    </w:tbl>
    <w:p>
      <w:pPr>
        <w:spacing w:after="60"/>
      </w:pPr>
    </w:p>
    <w:p>
      <w:pPr>
        <w:spacing w:after="120"/>
      </w:pPr>
      <w:r>
        <w:rPr>
          <w:rFonts w:ascii="Arial" w:cs="Arial" w:eastAsia="Arial" w:hAnsi="Arial"/>
          <w:sz w:val="21"/>
          <w:szCs w:val="21"/>
        </w:rPr>
        <w:t xml:space="preserve">Fiona, James,</w:t>
      </w:r>
    </w:p>
    <w:p>
      <w:pPr>
        <w:spacing w:after="60"/>
      </w:pPr>
    </w:p>
    <w:p>
      <w:pPr>
        <w:spacing w:after="120"/>
      </w:pPr>
      <w:r>
        <w:rPr>
          <w:rFonts w:ascii="Arial" w:cs="Arial" w:eastAsia="Arial" w:hAnsi="Arial"/>
          <w:sz w:val="21"/>
          <w:szCs w:val="21"/>
        </w:rPr>
        <w:t xml:space="preserve">The split triangle analysis is done. Sharing results and flagging a cross-BU data problem that came up during the work.</w:t>
      </w:r>
    </w:p>
    <w:p>
      <w:pPr>
        <w:spacing w:after="60"/>
      </w:pPr>
    </w:p>
    <w:p>
      <w:pPr>
        <w:spacing w:after="120"/>
      </w:pPr>
      <w:r>
        <w:rPr>
          <w:rFonts w:ascii="Arial" w:cs="Arial" w:eastAsia="Arial" w:hAnsi="Arial"/>
          <w:b/>
          <w:bCs/>
          <w:sz w:val="21"/>
          <w:szCs w:val="21"/>
        </w:rPr>
        <w:t xml:space="preserve">Split triangle results:</w:t>
      </w:r>
    </w:p>
    <w:p>
      <w:pPr>
        <w:spacing w:after="60"/>
      </w:pPr>
    </w:p>
    <w:p>
      <w:pPr>
        <w:spacing w:after="120"/>
      </w:pPr>
      <w:r>
        <w:rPr>
          <w:rFonts w:ascii="Arial" w:cs="Arial" w:eastAsia="Arial" w:hAnsi="Arial"/>
          <w:sz w:val="21"/>
          <w:szCs w:val="21"/>
        </w:rPr>
        <w:t xml:space="preserve">•  Short-tail (Property, Data Centre, BI): weighted average development factor to ultimate = 1.35x from 12-month evaluation. This is tracking the blended triangle almost exactly—no surprise, since property/BI dominates the book by volume.</w:t>
      </w:r>
    </w:p>
    <w:p>
      <w:pPr>
        <w:spacing w:after="120"/>
      </w:pPr>
      <w:r>
        <w:rPr>
          <w:rFonts w:ascii="Arial" w:cs="Arial" w:eastAsia="Arial" w:hAnsi="Arial"/>
          <w:sz w:val="21"/>
          <w:szCs w:val="21"/>
        </w:rPr>
        <w:t xml:space="preserve">•  Long-tail (Cyber, D&amp;O): weighted average development factor to ultimate = 4.8x from 12-month evaluation. This is 3.5x higher than the blended triangle suggests at the same maturity point. The blended triangle was producing a 12-month factor of 1.38x, which was being applied to cyber claims. We’ve been systematically under-reserving the cyber tail by a factor of ~3.5.</w:t>
      </w:r>
    </w:p>
    <w:p>
      <w:pPr>
        <w:spacing w:after="60"/>
      </w:pPr>
    </w:p>
    <w:p>
      <w:pPr>
        <w:spacing w:after="120"/>
      </w:pPr>
      <w:r>
        <w:rPr>
          <w:rFonts w:ascii="Arial" w:cs="Arial" w:eastAsia="Arial" w:hAnsi="Arial"/>
          <w:b/>
          <w:bCs/>
          <w:sz w:val="21"/>
          <w:szCs w:val="21"/>
        </w:rPr>
        <w:t xml:space="preserve">Implication for IBNR: </w:t>
      </w:r>
      <w:r>
        <w:rPr>
          <w:rFonts w:ascii="Arial" w:cs="Arial" w:eastAsia="Arial" w:hAnsi="Arial"/>
          <w:sz w:val="21"/>
          <w:szCs w:val="21"/>
        </w:rPr>
        <w:t xml:space="preserve">If I apply the long-tail factor to the current cyber incurred ($17.4M), the indicated ultimate is $83.5M—consistent with the benchmark range I quoted earlier ($87–139M). Our current IBNR on cyber is $2M. It should be at least $40M to get to a minimally adequate reserve. I’ll recommend $55M in the committee paper to allow for the government cloud regulatory tail.</w:t>
      </w:r>
    </w:p>
    <w:p>
      <w:pPr>
        <w:spacing w:after="60"/>
      </w:pPr>
    </w:p>
    <w:p>
      <w:pPr>
        <w:spacing w:after="120"/>
      </w:pPr>
      <w:r>
        <w:rPr>
          <w:rFonts w:ascii="Arial" w:cs="Arial" w:eastAsia="Arial" w:hAnsi="Arial"/>
          <w:b/>
          <w:bCs/>
          <w:sz w:val="21"/>
          <w:szCs w:val="21"/>
        </w:rPr>
        <w:t xml:space="preserve">Now, the cross-BU data issue:</w:t>
      </w:r>
    </w:p>
    <w:p>
      <w:pPr>
        <w:spacing w:after="60"/>
      </w:pPr>
    </w:p>
    <w:p>
      <w:pPr>
        <w:spacing w:after="120"/>
      </w:pPr>
      <w:r>
        <w:rPr>
          <w:rFonts w:ascii="Arial" w:cs="Arial" w:eastAsia="Arial" w:hAnsi="Arial"/>
          <w:b/>
          <w:bCs/>
          <w:sz w:val="21"/>
          <w:szCs w:val="21"/>
        </w:rPr>
        <w:t xml:space="preserve">While building the split triangles, I pulled loss data from BU2 (Tesla) and BU3 (Nestlé) to check whether the same methodology problem exists. </w:t>
      </w:r>
      <w:r>
        <w:rPr>
          <w:rFonts w:ascii="Arial" w:cs="Arial" w:eastAsia="Arial" w:hAnsi="Arial"/>
          <w:sz w:val="21"/>
          <w:szCs w:val="21"/>
        </w:rPr>
        <w:t xml:space="preserve">It does—but it’s worse because the data formats are incompatible. BU2 uses numeric status codes (1/2/3/4/5) and groups claims by event. BU3 uses letter codes (OP/CL/RO/DN/LIT/SUB) and groups claims by individual case. BU1 uses descriptive text (Open/Closed/Settled). I cannot build a Group-wide view of development patterns without first reconciling these three coding systems.</w:t>
      </w:r>
    </w:p>
    <w:p>
      <w:pPr>
        <w:spacing w:after="60"/>
      </w:pPr>
    </w:p>
    <w:p>
      <w:pPr>
        <w:spacing w:after="120"/>
      </w:pPr>
      <w:r>
        <w:rPr>
          <w:rFonts w:ascii="Arial" w:cs="Arial" w:eastAsia="Arial" w:hAnsi="Arial"/>
          <w:sz w:val="21"/>
          <w:szCs w:val="21"/>
        </w:rPr>
        <w:t xml:space="preserve">More specifically:</w:t>
      </w:r>
    </w:p>
    <w:p>
      <w:pPr>
        <w:spacing w:after="120"/>
      </w:pPr>
      <w:r>
        <w:rPr>
          <w:rFonts w:ascii="Arial" w:cs="Arial" w:eastAsia="Arial" w:hAnsi="Arial"/>
          <w:sz w:val="21"/>
          <w:szCs w:val="21"/>
        </w:rPr>
        <w:t xml:space="preserve">•  A “settled” claim in BU1 (“Settled”) is the same as a “3” in BU2 and a “CL” in BU3. But BU3 also has “SUB” (Subrogated) which BU2 codes as “5” and BU1 doesn’t distinguish at all—subrogated claims are just marked “Closed.”</w:t>
      </w:r>
    </w:p>
    <w:p>
      <w:pPr>
        <w:spacing w:after="120"/>
      </w:pPr>
      <w:r>
        <w:rPr>
          <w:rFonts w:ascii="Arial" w:cs="Arial" w:eastAsia="Arial" w:hAnsi="Arial"/>
          <w:sz w:val="21"/>
          <w:szCs w:val="21"/>
        </w:rPr>
        <w:t xml:space="preserve">•  BU3 has “LIT” (In Litigation) which has no equivalent in BU1 or BU2. In BU1, litigated claims are simply “Open.” In BU2, they could be “1” or “2.”</w:t>
      </w:r>
    </w:p>
    <w:p>
      <w:pPr>
        <w:spacing w:after="120"/>
      </w:pPr>
      <w:r>
        <w:rPr>
          <w:rFonts w:ascii="Arial" w:cs="Arial" w:eastAsia="Arial" w:hAnsi="Arial"/>
          <w:sz w:val="21"/>
          <w:szCs w:val="21"/>
        </w:rPr>
        <w:t xml:space="preserve">•  The column names for the same concept are different everywhere: “Paid Loss” vs “Indemnity Paid” vs “Amounts Paid.” “Sum Insured” vs “TSI” vs “Sum Assured.”</w:t>
      </w:r>
    </w:p>
    <w:p>
      <w:pPr>
        <w:spacing w:after="120"/>
      </w:pPr>
      <w:r>
        <w:rPr>
          <w:rFonts w:ascii="Arial" w:cs="Arial" w:eastAsia="Arial" w:hAnsi="Arial"/>
          <w:sz w:val="21"/>
          <w:szCs w:val="21"/>
        </w:rPr>
        <w:t xml:space="preserve">•  Date formats: BU1 uses YYYY-MM-DD, BU2 uses DD/MM/YYYY, BU3 uses YYYY/MM/DD. I spent 2 hours debugging a triangle where a BU2 claim dated 03/11/2025 (3 November) was being parsed as 11 March.</w:t>
      </w:r>
    </w:p>
    <w:p>
      <w:pPr>
        <w:spacing w:after="60"/>
      </w:pPr>
    </w:p>
    <w:p>
      <w:pPr>
        <w:spacing w:after="120"/>
      </w:pPr>
      <w:r>
        <w:rPr>
          <w:rFonts w:ascii="Arial" w:cs="Arial" w:eastAsia="Arial" w:hAnsi="Arial"/>
          <w:sz w:val="21"/>
          <w:szCs w:val="21"/>
        </w:rPr>
        <w:t xml:space="preserve">This isn’t just an inconvenience—it’s a reserving risk. If we can’t reliably aggregate claims data across BUs, we can’t produce a Group-level loss triangle, which means our Group IBNR is based on BU-level estimates that may not be consistent with each other.</w:t>
      </w:r>
    </w:p>
    <w:p>
      <w:pPr>
        <w:spacing w:after="60"/>
      </w:pPr>
    </w:p>
    <w:p>
      <w:pPr>
        <w:spacing w:after="120"/>
      </w:pPr>
      <w:r>
        <w:rPr>
          <w:rFonts w:ascii="Arial" w:cs="Arial" w:eastAsia="Arial" w:hAnsi="Arial"/>
          <w:sz w:val="21"/>
          <w:szCs w:val="21"/>
        </w:rPr>
        <w:t xml:space="preserve">Fiona—I know data standardisation isn’t your brief, but could you raise this at the next Group UW meeting? This is exactly the kind of operational risk that the regulator will ask about in the ORSA.</w:t>
      </w:r>
    </w:p>
    <w:p>
      <w:pPr>
        <w:spacing w:after="60"/>
      </w:pPr>
    </w:p>
    <w:p>
      <w:pPr>
        <w:spacing w:after="40"/>
      </w:pPr>
      <w:r>
        <w:rPr>
          <w:rFonts w:ascii="Arial" w:cs="Arial" w:eastAsia="Arial" w:hAnsi="Arial"/>
          <w:b/>
          <w:bCs/>
          <w:sz w:val="21"/>
          <w:szCs w:val="21"/>
        </w:rPr>
        <w:t xml:space="preserve">Dr. Lena Braun</w:t>
      </w:r>
    </w:p>
    <w:p>
      <w:pPr>
        <w:spacing w:after="200"/>
      </w:pPr>
      <w:r>
        <w:rPr>
          <w:rFonts w:ascii="Arial" w:cs="Arial" w:eastAsia="Arial" w:hAnsi="Arial"/>
          <w:i/>
          <w:iCs/>
          <w:color w:val="666666"/>
          <w:sz w:val="19"/>
          <w:szCs w:val="19"/>
        </w:rPr>
        <w:t xml:space="preserve">Actuarial Lead — Reserving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Fiona Walsh &lt;f.walsh@zurich-re.internal&gt;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James Hartley &lt;j.hartley@zurich-re.internal&gt;; Dr. Lena Braun &lt;l.braun@zurich-re.internal&gt;; Raj Mehta &lt;r.mehta@zurich-re.internal&gt;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5 November 2025, 08:30</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MSFT — Q4 reserve committee brief + BU data standardisation — DECISIONS REQUIRED</w:t>
            </w:r>
          </w:p>
        </w:tc>
      </w:tr>
    </w:tbl>
    <w:p>
      <w:pPr>
        <w:spacing w:after="60"/>
      </w:pPr>
    </w:p>
    <w:p>
      <w:pPr>
        <w:spacing w:after="120"/>
      </w:pPr>
      <w:r>
        <w:rPr>
          <w:rFonts w:ascii="Arial" w:cs="Arial" w:eastAsia="Arial" w:hAnsi="Arial"/>
          <w:sz w:val="21"/>
          <w:szCs w:val="21"/>
        </w:rPr>
        <w:t xml:space="preserve">Team,</w:t>
      </w:r>
    </w:p>
    <w:p>
      <w:pPr>
        <w:spacing w:after="60"/>
      </w:pPr>
    </w:p>
    <w:p>
      <w:pPr>
        <w:spacing w:after="120"/>
      </w:pPr>
      <w:r>
        <w:rPr>
          <w:rFonts w:ascii="Arial" w:cs="Arial" w:eastAsia="Arial" w:hAnsi="Arial"/>
          <w:sz w:val="21"/>
          <w:szCs w:val="21"/>
        </w:rPr>
        <w:t xml:space="preserve">Thank you for the thorough work on this account. Here’s where I’m landing for the committee paper. I need your sign-off by close of business Thursday.</w:t>
      </w:r>
    </w:p>
    <w:p>
      <w:pPr>
        <w:spacing w:after="60"/>
      </w:pPr>
    </w:p>
    <w:p>
      <w:pPr>
        <w:spacing w:after="120"/>
      </w:pPr>
      <w:r>
        <w:rPr>
          <w:rFonts w:ascii="Arial" w:cs="Arial" w:eastAsia="Arial" w:hAnsi="Arial"/>
          <w:b/>
          <w:bCs/>
          <w:sz w:val="21"/>
          <w:szCs w:val="21"/>
        </w:rPr>
        <w:t xml:space="preserve">RESERVE POSITION — MICROSOFT — Q4 2025</w:t>
      </w:r>
    </w:p>
    <w:p>
      <w:pPr>
        <w:spacing w:after="60"/>
      </w:pPr>
    </w:p>
    <w:p>
      <w:pPr>
        <w:spacing w:after="120"/>
      </w:pPr>
      <w:r>
        <w:rPr>
          <w:rFonts w:ascii="Arial" w:cs="Arial" w:eastAsia="Arial" w:hAnsi="Arial"/>
          <w:b/>
          <w:bCs/>
          <w:sz w:val="21"/>
          <w:szCs w:val="21"/>
        </w:rPr>
        <w:t xml:space="preserve">1. Cyber breach (CLM-MSFT-2025-002):</w:t>
      </w:r>
    </w:p>
    <w:p>
      <w:pPr>
        <w:spacing w:after="120"/>
      </w:pPr>
      <w:r>
        <w:rPr>
          <w:rFonts w:ascii="Arial" w:cs="Arial" w:eastAsia="Arial" w:hAnsi="Arial"/>
          <w:sz w:val="21"/>
          <w:szCs w:val="21"/>
        </w:rPr>
        <w:t xml:space="preserve">•  Current BDX: $17.4M gross incurred ($5.4M paid + $12M O/S)</w:t>
      </w:r>
    </w:p>
    <w:p>
      <w:pPr>
        <w:spacing w:after="120"/>
      </w:pPr>
      <w:r>
        <w:rPr>
          <w:rFonts w:ascii="Arial" w:cs="Arial" w:eastAsia="Arial" w:hAnsi="Arial"/>
          <w:sz w:val="21"/>
          <w:szCs w:val="21"/>
        </w:rPr>
        <w:t xml:space="preserve">•  Recommended: $72.4M gross incurred (+$55M IBNR per Lena’s split triangle analysis)</w:t>
      </w:r>
    </w:p>
    <w:p>
      <w:pPr>
        <w:spacing w:after="120"/>
      </w:pPr>
      <w:r>
        <w:rPr>
          <w:rFonts w:ascii="Arial" w:cs="Arial" w:eastAsia="Arial" w:hAnsi="Arial"/>
          <w:sz w:val="21"/>
          <w:szCs w:val="21"/>
        </w:rPr>
        <w:t xml:space="preserve">•  Adverse: $139M (if class action filed by government contractors + FISMA penalties at maximum)</w:t>
      </w:r>
    </w:p>
    <w:p>
      <w:pPr>
        <w:spacing w:after="120"/>
      </w:pPr>
      <w:r>
        <w:rPr>
          <w:rFonts w:ascii="Arial" w:cs="Arial" w:eastAsia="Arial" w:hAnsi="Arial"/>
          <w:sz w:val="21"/>
          <w:szCs w:val="21"/>
        </w:rPr>
        <w:t xml:space="preserve">•  Adequacy: DEFICIENT at current levels. ADEQUATE at recommended.</w:t>
      </w:r>
    </w:p>
    <w:p>
      <w:pPr>
        <w:spacing w:after="60"/>
      </w:pPr>
    </w:p>
    <w:p>
      <w:pPr>
        <w:spacing w:after="120"/>
      </w:pPr>
      <w:r>
        <w:rPr>
          <w:rFonts w:ascii="Arial" w:cs="Arial" w:eastAsia="Arial" w:hAnsi="Arial"/>
          <w:b/>
          <w:bCs/>
          <w:sz w:val="21"/>
          <w:szCs w:val="21"/>
        </w:rPr>
        <w:t xml:space="preserve">2. Data centre property/BI (all claims):</w:t>
      </w:r>
    </w:p>
    <w:p>
      <w:pPr>
        <w:spacing w:after="120"/>
      </w:pPr>
      <w:r>
        <w:rPr>
          <w:rFonts w:ascii="Arial" w:cs="Arial" w:eastAsia="Arial" w:hAnsi="Arial"/>
          <w:sz w:val="21"/>
          <w:szCs w:val="21"/>
        </w:rPr>
        <w:t xml:space="preserve">•  Current BDX: $3.45M gross incurred (Quincy cooling)</w:t>
      </w:r>
    </w:p>
    <w:p>
      <w:pPr>
        <w:spacing w:after="120"/>
      </w:pPr>
      <w:r>
        <w:rPr>
          <w:rFonts w:ascii="Arial" w:cs="Arial" w:eastAsia="Arial" w:hAnsi="Arial"/>
          <w:sz w:val="21"/>
          <w:szCs w:val="21"/>
        </w:rPr>
        <w:t xml:space="preserve">•  Recommended: $6.5M (+$3.05M for glycol corrosion scope expansion per Crawford revised estimate)</w:t>
      </w:r>
    </w:p>
    <w:p>
      <w:pPr>
        <w:spacing w:after="120"/>
      </w:pPr>
      <w:r>
        <w:rPr>
          <w:rFonts w:ascii="Arial" w:cs="Arial" w:eastAsia="Arial" w:hAnsi="Arial"/>
          <w:sz w:val="21"/>
          <w:szCs w:val="21"/>
        </w:rPr>
        <w:t xml:space="preserve">•  Adequacy: MARGINAL at current. ADEQUATE at recommended.</w:t>
      </w:r>
    </w:p>
    <w:p>
      <w:pPr>
        <w:spacing w:after="60"/>
      </w:pPr>
    </w:p>
    <w:p>
      <w:pPr>
        <w:spacing w:after="120"/>
      </w:pPr>
      <w:r>
        <w:rPr>
          <w:rFonts w:ascii="Arial" w:cs="Arial" w:eastAsia="Arial" w:hAnsi="Arial"/>
          <w:b/>
          <w:bCs/>
          <w:sz w:val="21"/>
          <w:szCs w:val="21"/>
        </w:rPr>
        <w:t xml:space="preserve">3. GDPR fine (CLM-MSFT-2025-007):</w:t>
      </w:r>
    </w:p>
    <w:p>
      <w:pPr>
        <w:spacing w:after="120"/>
      </w:pPr>
      <w:r>
        <w:rPr>
          <w:rFonts w:ascii="Arial" w:cs="Arial" w:eastAsia="Arial" w:hAnsi="Arial"/>
          <w:sz w:val="21"/>
          <w:szCs w:val="21"/>
        </w:rPr>
        <w:t xml:space="preserve">•  Current BDX: $4.8M</w:t>
      </w:r>
    </w:p>
    <w:p>
      <w:pPr>
        <w:spacing w:after="120"/>
      </w:pPr>
      <w:r>
        <w:rPr>
          <w:rFonts w:ascii="Arial" w:cs="Arial" w:eastAsia="Arial" w:hAnsi="Arial"/>
          <w:sz w:val="21"/>
          <w:szCs w:val="21"/>
        </w:rPr>
        <w:t xml:space="preserve">•  Recommended: $4.8M — no change, but flagged as “subject to legal opinion on Swiss law insurability”</w:t>
      </w:r>
    </w:p>
    <w:p>
      <w:pPr>
        <w:spacing w:after="120"/>
      </w:pPr>
      <w:r>
        <w:rPr>
          <w:rFonts w:ascii="Arial" w:cs="Arial" w:eastAsia="Arial" w:hAnsi="Arial"/>
          <w:sz w:val="21"/>
          <w:szCs w:val="21"/>
        </w:rPr>
        <w:t xml:space="preserve">•  Adequacy: UNCERTAIN — pending legal confirmation</w:t>
      </w:r>
    </w:p>
    <w:p>
      <w:pPr>
        <w:spacing w:after="60"/>
      </w:pPr>
    </w:p>
    <w:p>
      <w:pPr>
        <w:spacing w:after="120"/>
      </w:pPr>
      <w:r>
        <w:rPr>
          <w:rFonts w:ascii="Arial" w:cs="Arial" w:eastAsia="Arial" w:hAnsi="Arial"/>
          <w:b/>
          <w:bCs/>
          <w:sz w:val="21"/>
          <w:szCs w:val="21"/>
        </w:rPr>
        <w:t xml:space="preserve">4. All other lines (property, D&amp;O ex-GDPR, BI):</w:t>
      </w:r>
    </w:p>
    <w:p>
      <w:pPr>
        <w:spacing w:after="120"/>
      </w:pPr>
      <w:r>
        <w:rPr>
          <w:rFonts w:ascii="Arial" w:cs="Arial" w:eastAsia="Arial" w:hAnsi="Arial"/>
          <w:sz w:val="21"/>
          <w:szCs w:val="21"/>
        </w:rPr>
        <w:t xml:space="preserve">•  Recommended: no change — attritional claims developing within expected ranges</w:t>
      </w:r>
    </w:p>
    <w:p>
      <w:pPr>
        <w:spacing w:after="120"/>
      </w:pPr>
      <w:r>
        <w:rPr>
          <w:rFonts w:ascii="Arial" w:cs="Arial" w:eastAsia="Arial" w:hAnsi="Arial"/>
          <w:sz w:val="21"/>
          <w:szCs w:val="21"/>
        </w:rPr>
        <w:t xml:space="preserve">•  Adequacy: ADEQUATE</w:t>
      </w:r>
    </w:p>
    <w:p>
      <w:pPr>
        <w:spacing w:after="60"/>
      </w:pPr>
    </w:p>
    <w:p>
      <w:pPr>
        <w:spacing w:after="120"/>
      </w:pPr>
      <w:r>
        <w:rPr>
          <w:rFonts w:ascii="Arial" w:cs="Arial" w:eastAsia="Arial" w:hAnsi="Arial"/>
          <w:b/>
          <w:bCs/>
          <w:sz w:val="21"/>
          <w:szCs w:val="21"/>
        </w:rPr>
        <w:t xml:space="preserve">TOTAL: recommended gross incurred moves from $32.8M (current BDX) to $90.8M (+$58M, predominantly cyber IBNR).</w:t>
      </w:r>
    </w:p>
    <w:p>
      <w:pPr>
        <w:spacing w:after="60"/>
      </w:pPr>
    </w:p>
    <w:p>
      <w:pPr>
        <w:spacing w:after="120"/>
      </w:pPr>
      <w:r>
        <w:rPr>
          <w:rFonts w:ascii="Arial" w:cs="Arial" w:eastAsia="Arial" w:hAnsi="Arial"/>
          <w:b/>
          <w:bCs/>
          <w:color w:val="1F4E79"/>
          <w:sz w:val="21"/>
          <w:szCs w:val="21"/>
        </w:rPr>
        <w:t xml:space="preserve">SEPARATE ACTION — DATA STANDARDISATION</w:t>
      </w:r>
    </w:p>
    <w:p>
      <w:pPr>
        <w:spacing w:after="60"/>
      </w:pPr>
    </w:p>
    <w:p>
      <w:pPr>
        <w:spacing w:after="120"/>
      </w:pPr>
      <w:r>
        <w:rPr>
          <w:rFonts w:ascii="Arial" w:cs="Arial" w:eastAsia="Arial" w:hAnsi="Arial"/>
          <w:sz w:val="21"/>
          <w:szCs w:val="21"/>
        </w:rPr>
        <w:t xml:space="preserve">I’m taking Lena’s cross-BU data issue to the Group UW Committee on 18 November. The fact that our three BUs use different claim status codes, different column names, and different date formats is not acceptable. I’m going to propose a 6-month project to implement a common claims data standard across BU1, BU2, and BU3 with the following minimum requirements:</w:t>
      </w:r>
    </w:p>
    <w:p>
      <w:pPr>
        <w:spacing w:after="60"/>
      </w:pPr>
    </w:p>
    <w:p>
      <w:pPr>
        <w:spacing w:after="120"/>
      </w:pPr>
      <w:r>
        <w:rPr>
          <w:rFonts w:ascii="Arial" w:cs="Arial" w:eastAsia="Arial" w:hAnsi="Arial"/>
          <w:sz w:val="21"/>
          <w:szCs w:val="21"/>
        </w:rPr>
        <w:t xml:space="preserve">•  Unified claim status taxonomy (a single set of codes with clear definitions)</w:t>
      </w:r>
    </w:p>
    <w:p>
      <w:pPr>
        <w:spacing w:after="120"/>
      </w:pPr>
      <w:r>
        <w:rPr>
          <w:rFonts w:ascii="Arial" w:cs="Arial" w:eastAsia="Arial" w:hAnsi="Arial"/>
          <w:sz w:val="21"/>
          <w:szCs w:val="21"/>
        </w:rPr>
        <w:t xml:space="preserve">•  Standardised column naming convention for all bordereaux</w:t>
      </w:r>
    </w:p>
    <w:p>
      <w:pPr>
        <w:spacing w:after="120"/>
      </w:pPr>
      <w:r>
        <w:rPr>
          <w:rFonts w:ascii="Arial" w:cs="Arial" w:eastAsia="Arial" w:hAnsi="Arial"/>
          <w:sz w:val="21"/>
          <w:szCs w:val="21"/>
        </w:rPr>
        <w:t xml:space="preserve">•  ISO 8601 date format (YYYY-MM-DD) across all systems</w:t>
      </w:r>
    </w:p>
    <w:p>
      <w:pPr>
        <w:spacing w:after="120"/>
      </w:pPr>
      <w:r>
        <w:rPr>
          <w:rFonts w:ascii="Arial" w:cs="Arial" w:eastAsia="Arial" w:hAnsi="Arial"/>
          <w:sz w:val="21"/>
          <w:szCs w:val="21"/>
        </w:rPr>
        <w:t xml:space="preserve">•  Common currency handling (base currency conversion with FX rates logged)</w:t>
      </w:r>
    </w:p>
    <w:p>
      <w:pPr>
        <w:spacing w:after="120"/>
      </w:pPr>
      <w:r>
        <w:rPr>
          <w:rFonts w:ascii="Arial" w:cs="Arial" w:eastAsia="Arial" w:hAnsi="Arial"/>
          <w:sz w:val="21"/>
          <w:szCs w:val="21"/>
        </w:rPr>
        <w:t xml:space="preserve">•  Consistent claim grouping methodology (with both event-level and case-level views available)</w:t>
      </w:r>
    </w:p>
    <w:p>
      <w:pPr>
        <w:spacing w:after="60"/>
      </w:pPr>
    </w:p>
    <w:p>
      <w:pPr>
        <w:spacing w:after="120"/>
      </w:pPr>
      <w:r>
        <w:rPr>
          <w:rFonts w:ascii="Arial" w:cs="Arial" w:eastAsia="Arial" w:hAnsi="Arial"/>
          <w:sz w:val="21"/>
          <w:szCs w:val="21"/>
        </w:rPr>
        <w:t xml:space="preserve">If anyone has seen this done well at a previous firm, I’m all ears. The Lloyd’s Coverholder Reporting Standards v5.2 might be a starting point, but it was designed for delegated authority, not internal reinsurance reporting.</w:t>
      </w:r>
    </w:p>
    <w:p>
      <w:pPr>
        <w:spacing w:after="60"/>
      </w:pPr>
    </w:p>
    <w:p>
      <w:pPr>
        <w:spacing w:after="120"/>
      </w:pPr>
      <w:r>
        <w:rPr>
          <w:rFonts w:ascii="Arial" w:cs="Arial" w:eastAsia="Arial" w:hAnsi="Arial"/>
          <w:sz w:val="21"/>
          <w:szCs w:val="21"/>
        </w:rPr>
        <w:t xml:space="preserve">Let’s confirm the reserve numbers on Thursday and I’ll submit the committee paper on Friday.</w:t>
      </w:r>
    </w:p>
    <w:p>
      <w:pPr>
        <w:spacing w:after="60"/>
      </w:pPr>
    </w:p>
    <w:p>
      <w:pPr>
        <w:spacing w:after="40"/>
      </w:pPr>
      <w:r>
        <w:rPr>
          <w:rFonts w:ascii="Arial" w:cs="Arial" w:eastAsia="Arial" w:hAnsi="Arial"/>
          <w:b/>
          <w:bCs/>
          <w:sz w:val="21"/>
          <w:szCs w:val="21"/>
        </w:rPr>
        <w:t xml:space="preserve">Fiona</w:t>
      </w:r>
    </w:p>
    <w:p>
      <w:pPr>
        <w:spacing w:after="200"/>
      </w:pPr>
      <w:r>
        <w:rPr>
          <w:rFonts w:ascii="Arial" w:cs="Arial" w:eastAsia="Arial" w:hAnsi="Arial"/>
          <w:i/>
          <w:iCs/>
          <w:color w:val="666666"/>
          <w:sz w:val="19"/>
          <w:szCs w:val="19"/>
        </w:rPr>
        <w:t xml:space="preserve">VP Underwriting — BU1 Technology &amp; Cyber Lines</w:t>
      </w:r>
    </w:p>
    <w:p>
      <w:pPr>
        <w:spacing w:after="60"/>
      </w:pPr>
    </w:p>
    <w:p>
      <w:pPr>
        <w:spacing w:after="120"/>
      </w:pPr>
      <w:r>
        <w:rPr>
          <w:rFonts w:ascii="Arial" w:cs="Arial" w:eastAsia="Arial" w:hAnsi="Arial"/>
          <w:color w:val="CCCCCC"/>
          <w:sz w:val="21"/>
          <w:szCs w:val="21"/>
        </w:rPr>
        <w:t xml:space="preserve">———</w:t>
      </w:r>
    </w:p>
    <w:p>
      <w:pPr>
        <w:spacing w:after="120"/>
      </w:pPr>
      <w:r>
        <w:rPr>
          <w:rFonts w:ascii="Arial" w:cs="Arial" w:eastAsia="Arial" w:hAnsi="Arial"/>
          <w:i/>
          <w:iCs/>
          <w:color w:val="999999"/>
          <w:sz w:val="21"/>
          <w:szCs w:val="21"/>
        </w:rPr>
        <w:t xml:space="preserve">This communication is internal and privileged. Do not forward outside Zurich Insurance Group without authorisation from Legal.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2026-02-19T16:28:20.758Z</dcterms:created>
  <dcterms:modified xsi:type="dcterms:W3CDTF">2026-02-19T16:28:20.759Z</dcterms:modified>
</cp:coreProperties>
</file>

<file path=docProps/custom.xml><?xml version="1.0" encoding="utf-8"?>
<Properties xmlns="http://schemas.openxmlformats.org/officeDocument/2006/custom-properties" xmlns:vt="http://schemas.openxmlformats.org/officeDocument/2006/docPropsVTypes"/>
</file>