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pPr>
      <w:r>
        <w:rPr>
          <w:rFonts w:ascii="Arial" w:cs="Arial" w:eastAsia="Arial" w:hAnsi="Arial"/>
          <w:b/>
          <w:bCs/>
          <w:color w:val="375623"/>
          <w:sz w:val="36"/>
          <w:szCs w:val="36"/>
        </w:rPr>
        <w:t xml:space="preserve">INTERNAL CORRESPONDENCE</w:t>
      </w:r>
    </w:p>
    <w:p>
      <w:pPr>
        <w:spacing w:after="80"/>
      </w:pPr>
      <w:r>
        <w:rPr>
          <w:rFonts w:ascii="Arial" w:cs="Arial" w:eastAsia="Arial" w:hAnsi="Arial"/>
          <w:color w:val="375623"/>
          <w:sz w:val="28"/>
          <w:szCs w:val="28"/>
        </w:rPr>
        <w:t xml:space="preserve">Tesla Inc. — BU2 Industrial &amp; Specialty Lines</w:t>
      </w:r>
    </w:p>
    <w:p>
      <w:pPr>
        <w:spacing w:after="80"/>
      </w:pPr>
      <w:r>
        <w:rPr>
          <w:rFonts w:ascii="Arial" w:cs="Arial" w:eastAsia="Arial" w:hAnsi="Arial"/>
          <w:color w:val="888888"/>
          <w:sz w:val="22"/>
          <w:szCs w:val="22"/>
        </w:rPr>
        <w:t xml:space="preserve">Treaty: MR-IND-2025-TSLA-QS  |  Reinsurer: Munich Re</w:t>
      </w:r>
    </w:p>
    <w:p>
      <w:pPr>
        <w:spacing w:after="300"/>
      </w:pPr>
      <w:r>
        <w:rPr>
          <w:rFonts w:ascii="Arial" w:cs="Arial" w:eastAsia="Arial" w:hAnsi="Arial"/>
          <w:color w:val="888888"/>
          <w:sz w:val="22"/>
          <w:szCs w:val="22"/>
        </w:rPr>
        <w:t xml:space="preserve">Email thread — Underwriting, Actuarial &amp; CAT Modelling  |  October–December 2025</w:t>
      </w:r>
    </w:p>
    <w:p>
      <w:pPr>
        <w:spacing w:after="60"/>
      </w:pPr>
      <w:r>
        <w:rPr>
          <w:rFonts w:ascii="Arial" w:cs="Arial" w:eastAsia="Arial" w:hAnsi="Arial"/>
          <w:b/>
          <w:bCs/>
          <w:color w:val="375623"/>
          <w:sz w:val="20"/>
          <w:szCs w:val="20"/>
        </w:rPr>
        <w:t xml:space="preserve">DISTRIBUTION</w:t>
      </w:r>
    </w:p>
    <w:p>
      <w:pPr>
        <w:spacing w:after="120"/>
      </w:pPr>
      <w:r>
        <w:rPr>
          <w:rFonts w:ascii="Arial" w:cs="Arial" w:eastAsia="Arial" w:hAnsi="Arial"/>
          <w:sz w:val="21"/>
          <w:szCs w:val="21"/>
        </w:rPr>
        <w:t xml:space="preserve">Sarah Chen — Senior Underwriter, Industrial &amp; Specialty Lines (BU2)</w:t>
      </w:r>
    </w:p>
    <w:p>
      <w:pPr>
        <w:spacing w:after="120"/>
      </w:pPr>
      <w:r>
        <w:rPr>
          <w:rFonts w:ascii="Arial" w:cs="Arial" w:eastAsia="Arial" w:hAnsi="Arial"/>
          <w:sz w:val="21"/>
          <w:szCs w:val="21"/>
        </w:rPr>
        <w:t xml:space="preserve">Marcus Webb — Chief Actuary, Reserving &amp; Pricing</w:t>
      </w:r>
    </w:p>
    <w:p>
      <w:pPr>
        <w:spacing w:after="120"/>
      </w:pPr>
      <w:r>
        <w:rPr>
          <w:rFonts w:ascii="Arial" w:cs="Arial" w:eastAsia="Arial" w:hAnsi="Arial"/>
          <w:sz w:val="21"/>
          <w:szCs w:val="21"/>
        </w:rPr>
        <w:t xml:space="preserve">Priya Kapoor — Catastrophe Modelling Analyst</w:t>
      </w:r>
    </w:p>
    <w:p>
      <w:pPr>
        <w:spacing w:after="120"/>
      </w:pPr>
      <w:r>
        <w:rPr>
          <w:rFonts w:ascii="Arial" w:cs="Arial" w:eastAsia="Arial" w:hAnsi="Arial"/>
          <w:sz w:val="21"/>
          <w:szCs w:val="21"/>
        </w:rPr>
        <w:t xml:space="preserve">Tom Eriksen — Head of Underwriting, BU2</w:t>
      </w:r>
    </w:p>
    <w:p>
      <w:pPr>
        <w:spacing w:after="60"/>
      </w:pPr>
    </w:p>
    <w:p>
      <w:r>
        <w:rPr>
          <w:sz w:val="2"/>
          <w:szCs w:val="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Marcus Webb &lt;m.webb@zurich-re.internal&gt;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Sarah Chen &lt;s.chen@zurich-re.internal&gt;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28 October 2025, 09:14</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RE: Tesla Q4 BDX — IBNR concerns on EVT-2025-EQ-001</w:t>
            </w:r>
          </w:p>
        </w:tc>
      </w:tr>
    </w:tbl>
    <w:p>
      <w:pPr>
        <w:spacing w:after="60"/>
      </w:pPr>
    </w:p>
    <w:p>
      <w:pPr>
        <w:spacing w:after="120"/>
      </w:pPr>
      <w:r>
        <w:rPr>
          <w:rFonts w:ascii="Arial" w:cs="Arial" w:eastAsia="Arial" w:hAnsi="Arial"/>
          <w:sz w:val="21"/>
          <w:szCs w:val="21"/>
        </w:rPr>
        <w:t xml:space="preserve">Sarah,</w:t>
      </w:r>
    </w:p>
    <w:p>
      <w:pPr>
        <w:spacing w:after="60"/>
      </w:pPr>
    </w:p>
    <w:p>
      <w:pPr>
        <w:spacing w:after="120"/>
      </w:pPr>
      <w:r>
        <w:rPr>
          <w:rFonts w:ascii="Arial" w:cs="Arial" w:eastAsia="Arial" w:hAnsi="Arial"/>
          <w:sz w:val="21"/>
          <w:szCs w:val="21"/>
        </w:rPr>
        <w:t xml:space="preserve">I’ve reviewed the Q4 claims bordereaux you circulated on Friday. A few things are keeping me up at night on the Hayward Fault event and I want to flag them before we go any further with the reserve booking.</w:t>
      </w:r>
    </w:p>
    <w:p>
      <w:pPr>
        <w:spacing w:after="60"/>
      </w:pPr>
    </w:p>
    <w:p>
      <w:pPr>
        <w:spacing w:after="120"/>
      </w:pPr>
      <w:r>
        <w:rPr>
          <w:rFonts w:ascii="Arial" w:cs="Arial" w:eastAsia="Arial" w:hAnsi="Arial"/>
          <w:b/>
          <w:bCs/>
          <w:sz w:val="21"/>
          <w:szCs w:val="21"/>
        </w:rPr>
        <w:t xml:space="preserve">1. FFEQ sub-claim development. </w:t>
      </w:r>
      <w:r>
        <w:rPr>
          <w:rFonts w:ascii="Arial" w:cs="Arial" w:eastAsia="Arial" w:hAnsi="Arial"/>
          <w:sz w:val="21"/>
          <w:szCs w:val="21"/>
        </w:rPr>
        <w:t xml:space="preserve">The fire-following-EQ component (EVT-2025-EQ-001-FFEQ) is showing $28M paid against a $65M O/S reserve after only 6 days. That paid-to-incurred ratio of 25% is far too generous for an industrial fire in a battery assembly area. Our 2022 Shanghai fire (comparable occupancy) ran at 18% paid-to-ultimate after 30 days and ultimately developed 2.4x the initial reserve. If we apply even a conservative 1.8x development factor to the current $109.8M gross incurred on FFEQ, we’re looking at $197M—well above the $150M sub-limit on FFEQ in the treaty.</w:t>
      </w:r>
    </w:p>
    <w:p>
      <w:pPr>
        <w:spacing w:after="60"/>
      </w:pPr>
    </w:p>
    <w:p>
      <w:pPr>
        <w:spacing w:after="120"/>
      </w:pPr>
      <w:r>
        <w:rPr>
          <w:rFonts w:ascii="Arial" w:cs="Arial" w:eastAsia="Arial" w:hAnsi="Arial"/>
          <w:b/>
          <w:bCs/>
          <w:sz w:val="21"/>
          <w:szCs w:val="21"/>
        </w:rPr>
        <w:t xml:space="preserve">2. BI waiting period interaction. </w:t>
      </w:r>
      <w:r>
        <w:rPr>
          <w:rFonts w:ascii="Arial" w:cs="Arial" w:eastAsia="Arial" w:hAnsi="Arial"/>
          <w:sz w:val="21"/>
          <w:szCs w:val="21"/>
        </w:rPr>
        <w:t xml:space="preserve">The BI sub-claim (EVT-2025-EQ-001-BI) has a 48-hour waiting period per the treaty wording. But Crawford’s preliminary report suggests the Fremont plant went into emergency shutdown at 06:42 local time on the 22nd and hasn’t resumed. If the structural engineer doesn’t clear the building for another 4–6 weeks, the BI exposure could be materially higher than the 8-week estimate in the BDX. Tesla’s Model 3/Y production runs at ~8,500 units/week at Fremont—at an average margin of ~$8K/unit, that’s $68M/week in gross BI exposure. The $311M gross incurred figure for EQ-BI looks light.</w:t>
      </w:r>
    </w:p>
    <w:p>
      <w:pPr>
        <w:spacing w:after="60"/>
      </w:pPr>
    </w:p>
    <w:p>
      <w:pPr>
        <w:spacing w:after="120"/>
      </w:pPr>
      <w:r>
        <w:rPr>
          <w:rFonts w:ascii="Arial" w:cs="Arial" w:eastAsia="Arial" w:hAnsi="Arial"/>
          <w:b/>
          <w:bCs/>
          <w:sz w:val="21"/>
          <w:szCs w:val="21"/>
        </w:rPr>
        <w:t xml:space="preserve">3. IBNR on supply chain sub-claim. </w:t>
      </w:r>
      <w:r>
        <w:rPr>
          <w:rFonts w:ascii="Arial" w:cs="Arial" w:eastAsia="Arial" w:hAnsi="Arial"/>
          <w:sz w:val="21"/>
          <w:szCs w:val="21"/>
        </w:rPr>
        <w:t xml:space="preserve">The $18M IBNR provision on EVT-2025-EQ-001-SC seems to assume only Tier 1 semiconductor suppliers in the Bay Area are affected. But if the power grid disruption extends to the broader Silicon Valley corridor (PG&amp;E has flagged potential rolling outages), Tier 2 and Tier 3 suppliers could trigger the contingent BI cover as well. I’d want to see a scenario where we stress-test IBNR at $35M and $50M.</w:t>
      </w:r>
    </w:p>
    <w:p>
      <w:pPr>
        <w:spacing w:after="60"/>
      </w:pPr>
    </w:p>
    <w:p>
      <w:pPr>
        <w:spacing w:after="120"/>
      </w:pPr>
      <w:r>
        <w:rPr>
          <w:rFonts w:ascii="Arial" w:cs="Arial" w:eastAsia="Arial" w:hAnsi="Arial"/>
          <w:sz w:val="21"/>
          <w:szCs w:val="21"/>
        </w:rPr>
        <w:t xml:space="preserve">Can we schedule 30 minutes this week to walk through these? I’d like to have the IBNR position agreed before the 15 November reserve committee.</w:t>
      </w:r>
    </w:p>
    <w:p>
      <w:pPr>
        <w:spacing w:after="60"/>
      </w:pPr>
    </w:p>
    <w:p>
      <w:pPr>
        <w:spacing w:after="40"/>
      </w:pPr>
      <w:r>
        <w:rPr>
          <w:rFonts w:ascii="Arial" w:cs="Arial" w:eastAsia="Arial" w:hAnsi="Arial"/>
          <w:b/>
          <w:bCs/>
          <w:sz w:val="21"/>
          <w:szCs w:val="21"/>
        </w:rPr>
        <w:t xml:space="preserve">Marcus</w:t>
      </w:r>
    </w:p>
    <w:p>
      <w:pPr>
        <w:spacing w:after="200"/>
      </w:pPr>
      <w:r>
        <w:rPr>
          <w:rFonts w:ascii="Arial" w:cs="Arial" w:eastAsia="Arial" w:hAnsi="Arial"/>
          <w:i/>
          <w:iCs/>
          <w:color w:val="666666"/>
          <w:sz w:val="19"/>
          <w:szCs w:val="19"/>
        </w:rPr>
        <w:t xml:space="preserve">Chief Actuary — Reserving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Sarah Chen &lt;s.chen@zurich-re.internal&gt;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Marcus Webb &lt;m.webb@zurich-re.internal&gt;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28 October 2025, 14:37</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RE: Tesla Q4 BDX — IBNR concerns on EVT-2025-EQ-001</w:t>
            </w:r>
          </w:p>
        </w:tc>
      </w:tr>
    </w:tbl>
    <w:p>
      <w:pPr>
        <w:spacing w:after="60"/>
      </w:pPr>
    </w:p>
    <w:p>
      <w:pPr>
        <w:spacing w:after="120"/>
      </w:pPr>
      <w:r>
        <w:rPr>
          <w:rFonts w:ascii="Arial" w:cs="Arial" w:eastAsia="Arial" w:hAnsi="Arial"/>
          <w:sz w:val="21"/>
          <w:szCs w:val="21"/>
        </w:rPr>
        <w:t xml:space="preserve">Marcus,</w:t>
      </w:r>
    </w:p>
    <w:p>
      <w:pPr>
        <w:spacing w:after="60"/>
      </w:pPr>
    </w:p>
    <w:p>
      <w:pPr>
        <w:spacing w:after="120"/>
      </w:pPr>
      <w:r>
        <w:rPr>
          <w:rFonts w:ascii="Arial" w:cs="Arial" w:eastAsia="Arial" w:hAnsi="Arial"/>
          <w:sz w:val="21"/>
          <w:szCs w:val="21"/>
        </w:rPr>
        <w:t xml:space="preserve">Appreciate the detailed pushback—this is exactly the conversation we need to have before the committee. Let me respond to each point:</w:t>
      </w:r>
    </w:p>
    <w:p>
      <w:pPr>
        <w:spacing w:after="60"/>
      </w:pPr>
    </w:p>
    <w:p>
      <w:pPr>
        <w:spacing w:after="120"/>
      </w:pPr>
      <w:r>
        <w:rPr>
          <w:rFonts w:ascii="Arial" w:cs="Arial" w:eastAsia="Arial" w:hAnsi="Arial"/>
          <w:b/>
          <w:bCs/>
          <w:sz w:val="21"/>
          <w:szCs w:val="21"/>
        </w:rPr>
        <w:t xml:space="preserve">On FFEQ development: </w:t>
      </w:r>
      <w:r>
        <w:rPr>
          <w:rFonts w:ascii="Arial" w:cs="Arial" w:eastAsia="Arial" w:hAnsi="Arial"/>
          <w:sz w:val="21"/>
          <w:szCs w:val="21"/>
        </w:rPr>
        <w:t xml:space="preserve">Agreed that the paid-to-incurred ratio looks aggressive, but I’d push back on using the Shanghai fire as a direct comparator. Shanghai was a lithium-ion cell production fire with thermal runaway propagation—essentially an explosion risk that developed for 72 hours. Crawford’s site report from Fremont describes a conventional structural fire in the paint shop that was contained within 4 hours by on-site suppression (ESFR sprinkler + foam). The battery assembly area sustained smoke damage but no thermal runaway. I think a development factor of 1.4–1.6x is more appropriate here. Even at 1.6x, we’re at $175M—still within the $150M FFEQ sub-limit once you net off the 40% QS cession.</w:t>
      </w:r>
    </w:p>
    <w:p>
      <w:pPr>
        <w:spacing w:after="60"/>
      </w:pPr>
    </w:p>
    <w:p>
      <w:pPr>
        <w:spacing w:after="120"/>
      </w:pPr>
      <w:r>
        <w:rPr>
          <w:rFonts w:ascii="Arial" w:cs="Arial" w:eastAsia="Arial" w:hAnsi="Arial"/>
          <w:b/>
          <w:bCs/>
          <w:sz w:val="21"/>
          <w:szCs w:val="21"/>
        </w:rPr>
        <w:t xml:space="preserve">On BI duration: </w:t>
      </w:r>
      <w:r>
        <w:rPr>
          <w:rFonts w:ascii="Arial" w:cs="Arial" w:eastAsia="Arial" w:hAnsi="Arial"/>
          <w:sz w:val="21"/>
          <w:szCs w:val="21"/>
        </w:rPr>
        <w:t xml:space="preserve">Fair point on the production rate maths. However, Tesla has shifted ~30% of Model Y production to Austin since 2023. The Austin line is unaffected. I’ve asked Guy Carpenter to get us Tesla’s updated production split by site—if Fremont is now running at 6,000 units/week rather than 8,500, the BI exposure drops materially. I expect to have that data by Thursday.</w:t>
      </w:r>
    </w:p>
    <w:p>
      <w:pPr>
        <w:spacing w:after="60"/>
      </w:pPr>
    </w:p>
    <w:p>
      <w:pPr>
        <w:spacing w:after="120"/>
      </w:pPr>
      <w:r>
        <w:rPr>
          <w:rFonts w:ascii="Arial" w:cs="Arial" w:eastAsia="Arial" w:hAnsi="Arial"/>
          <w:b/>
          <w:bCs/>
          <w:sz w:val="21"/>
          <w:szCs w:val="21"/>
        </w:rPr>
        <w:t xml:space="preserve">On supply chain IBNR: </w:t>
      </w:r>
      <w:r>
        <w:rPr>
          <w:rFonts w:ascii="Arial" w:cs="Arial" w:eastAsia="Arial" w:hAnsi="Arial"/>
          <w:sz w:val="21"/>
          <w:szCs w:val="21"/>
        </w:rPr>
        <w:t xml:space="preserve">This one I agree with. The $18M feels optimistic. I’ve spoken to Sedgwick (handling the SC sub-claim) and they’ve confirmed two Tier 2 suppliers—a capacitor manufacturer in San Jose and a sensor fab in Santa Clara—have reported force majeure. I’m comfortable moving the IBNR to $35M as a base case and including $50M as a stress scenario in the reserve committee paper.</w:t>
      </w:r>
    </w:p>
    <w:p>
      <w:pPr>
        <w:spacing w:after="60"/>
      </w:pPr>
    </w:p>
    <w:p>
      <w:pPr>
        <w:spacing w:after="120"/>
      </w:pPr>
      <w:r>
        <w:rPr>
          <w:rFonts w:ascii="Arial" w:cs="Arial" w:eastAsia="Arial" w:hAnsi="Arial"/>
          <w:sz w:val="21"/>
          <w:szCs w:val="21"/>
        </w:rPr>
        <w:t xml:space="preserve">Happy to do 30 mins Thursday afternoon. I’ll also loop in Priya—I want her view on whether the RMS model picks up the cascading infrastructure failure (power grid, transport) that drives the supply chain tail.</w:t>
      </w:r>
    </w:p>
    <w:p>
      <w:pPr>
        <w:spacing w:after="60"/>
      </w:pPr>
    </w:p>
    <w:p>
      <w:pPr>
        <w:spacing w:after="40"/>
      </w:pPr>
      <w:r>
        <w:rPr>
          <w:rFonts w:ascii="Arial" w:cs="Arial" w:eastAsia="Arial" w:hAnsi="Arial"/>
          <w:b/>
          <w:bCs/>
          <w:sz w:val="21"/>
          <w:szCs w:val="21"/>
        </w:rPr>
        <w:t xml:space="preserve">Sarah</w:t>
      </w:r>
    </w:p>
    <w:p>
      <w:pPr>
        <w:spacing w:after="200"/>
      </w:pPr>
      <w:r>
        <w:rPr>
          <w:rFonts w:ascii="Arial" w:cs="Arial" w:eastAsia="Arial" w:hAnsi="Arial"/>
          <w:i/>
          <w:iCs/>
          <w:color w:val="666666"/>
          <w:sz w:val="19"/>
          <w:szCs w:val="19"/>
        </w:rPr>
        <w:t xml:space="preserve">Senior Underwriter — Industrial &amp; Specialty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Priya Kapoor &lt;p.kapoor@zurich-re.internal&gt;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Sarah Chen &lt;s.chen@zurich-re.internal&gt;; Marcus Webb &lt;m.webb@zurich-re.internal&gt;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30 October 2025, 11:22</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RE: Tesla SOV — COPE data quality issue flagged by RMS run</w:t>
            </w:r>
          </w:p>
        </w:tc>
      </w:tr>
    </w:tbl>
    <w:p>
      <w:pPr>
        <w:spacing w:after="60"/>
      </w:pPr>
    </w:p>
    <w:p>
      <w:pPr>
        <w:spacing w:after="120"/>
      </w:pPr>
      <w:r>
        <w:rPr>
          <w:rFonts w:ascii="Arial" w:cs="Arial" w:eastAsia="Arial" w:hAnsi="Arial"/>
          <w:sz w:val="21"/>
          <w:szCs w:val="21"/>
        </w:rPr>
        <w:t xml:space="preserve">Sarah, Marcus,</w:t>
      </w:r>
    </w:p>
    <w:p>
      <w:pPr>
        <w:spacing w:after="60"/>
      </w:pPr>
    </w:p>
    <w:p>
      <w:pPr>
        <w:spacing w:after="120"/>
      </w:pPr>
      <w:r>
        <w:rPr>
          <w:rFonts w:ascii="Arial" w:cs="Arial" w:eastAsia="Arial" w:hAnsi="Arial"/>
          <w:sz w:val="21"/>
          <w:szCs w:val="21"/>
        </w:rPr>
        <w:t xml:space="preserve">I ran the updated RMS RiskLink v23 model on the Tesla SOV yesterday and hit a problem I need to flag urgently.</w:t>
      </w:r>
    </w:p>
    <w:p>
      <w:pPr>
        <w:spacing w:after="60"/>
      </w:pPr>
    </w:p>
    <w:p>
      <w:pPr>
        <w:spacing w:after="120"/>
      </w:pPr>
      <w:r>
        <w:rPr>
          <w:rFonts w:ascii="Arial" w:cs="Arial" w:eastAsia="Arial" w:hAnsi="Arial"/>
          <w:b/>
          <w:bCs/>
          <w:sz w:val="21"/>
          <w:szCs w:val="21"/>
        </w:rPr>
        <w:t xml:space="preserve">Construction type mismatch. </w:t>
      </w:r>
      <w:r>
        <w:rPr>
          <w:rFonts w:ascii="Arial" w:cs="Arial" w:eastAsia="Arial" w:hAnsi="Arial"/>
          <w:sz w:val="21"/>
          <w:szCs w:val="21"/>
        </w:rPr>
        <w:t xml:space="preserve">The SOV lists Fremont as “Reinforced Concrete” (construction class 1A in our internal coding). But the original facility was built in 1962 as a GM/Toyota NUMMI plant with a steel-frame structure and concrete tilt-up walls. Tesla’s retrofit in 2012–2017 added significant steelwork but did not convert the primary structure to full RC. RMS classifies this as “Steel Frame with Concrete Shear Walls” (class 2B), which has a fundamentally different fragility curve for ground shaking.</w:t>
      </w:r>
    </w:p>
    <w:p>
      <w:pPr>
        <w:spacing w:after="60"/>
      </w:pPr>
    </w:p>
    <w:p>
      <w:pPr>
        <w:spacing w:after="120"/>
      </w:pPr>
      <w:r>
        <w:rPr>
          <w:rFonts w:ascii="Arial" w:cs="Arial" w:eastAsia="Arial" w:hAnsi="Arial"/>
          <w:b/>
          <w:bCs/>
          <w:sz w:val="21"/>
          <w:szCs w:val="21"/>
        </w:rPr>
        <w:t xml:space="preserve">Impact on PML. </w:t>
      </w:r>
      <w:r>
        <w:rPr>
          <w:rFonts w:ascii="Arial" w:cs="Arial" w:eastAsia="Arial" w:hAnsi="Arial"/>
          <w:sz w:val="21"/>
          <w:szCs w:val="21"/>
        </w:rPr>
        <w:t xml:space="preserve">When I correct the construction type from 1A to 2B and re-run, the 250-year return period PML for the Fremont site alone jumps from $1.2B to $1.9B. The difference is almost entirely in the structural damage component—the contents and BI values are unchanged. This is a 58% increase in the single-site PML and it pulls the aggregate Tesla EQ PML (across Fremont + Palo Alto HQ) from $1.8B to $2.5B.</w:t>
      </w:r>
    </w:p>
    <w:p>
      <w:pPr>
        <w:spacing w:after="60"/>
      </w:pPr>
    </w:p>
    <w:p>
      <w:pPr>
        <w:spacing w:after="120"/>
      </w:pPr>
      <w:r>
        <w:rPr>
          <w:rFonts w:ascii="Arial" w:cs="Arial" w:eastAsia="Arial" w:hAnsi="Arial"/>
          <w:b/>
          <w:bCs/>
          <w:sz w:val="21"/>
          <w:szCs w:val="21"/>
        </w:rPr>
        <w:t xml:space="preserve">Knock-on to pricing. </w:t>
      </w:r>
      <w:r>
        <w:rPr>
          <w:rFonts w:ascii="Arial" w:cs="Arial" w:eastAsia="Arial" w:hAnsi="Arial"/>
          <w:sz w:val="21"/>
          <w:szCs w:val="21"/>
        </w:rPr>
        <w:t xml:space="preserve">The premium rating sheet uses the SOV’s construction type to select the base rate. If Fremont should be 2B rather than 1A, the EQ base rate for that site should be higher—40–60 bps depending on how you treat the retrofit. The current 1.20% rate looks like it was set for an RC building. I’d suggest 1.60–1.80% for a steel frame in Zone 4.</w:t>
      </w:r>
    </w:p>
    <w:p>
      <w:pPr>
        <w:spacing w:after="60"/>
      </w:pPr>
    </w:p>
    <w:p>
      <w:pPr>
        <w:spacing w:after="120"/>
      </w:pPr>
      <w:r>
        <w:rPr>
          <w:rFonts w:ascii="Arial" w:cs="Arial" w:eastAsia="Arial" w:hAnsi="Arial"/>
          <w:sz w:val="21"/>
          <w:szCs w:val="21"/>
        </w:rPr>
        <w:t xml:space="preserve">I’ve attached the side-by-side RMS output (before/after construction correction) to the shared drive. I’d recommend we go back to Guy Carpenter and request an updated engineering report before we finalise the renewal terms. This is exactly the kind of COPE data quality issue that burns us—the SOV looked clean but the underlying data was wrong.</w:t>
      </w:r>
    </w:p>
    <w:p>
      <w:pPr>
        <w:spacing w:after="60"/>
      </w:pPr>
    </w:p>
    <w:p>
      <w:pPr>
        <w:spacing w:after="40"/>
      </w:pPr>
      <w:r>
        <w:rPr>
          <w:rFonts w:ascii="Arial" w:cs="Arial" w:eastAsia="Arial" w:hAnsi="Arial"/>
          <w:b/>
          <w:bCs/>
          <w:sz w:val="21"/>
          <w:szCs w:val="21"/>
        </w:rPr>
        <w:t xml:space="preserve">Priya</w:t>
      </w:r>
    </w:p>
    <w:p>
      <w:pPr>
        <w:spacing w:after="200"/>
      </w:pPr>
      <w:r>
        <w:rPr>
          <w:rFonts w:ascii="Arial" w:cs="Arial" w:eastAsia="Arial" w:hAnsi="Arial"/>
          <w:i/>
          <w:iCs/>
          <w:color w:val="666666"/>
          <w:sz w:val="19"/>
          <w:szCs w:val="19"/>
        </w:rPr>
        <w:t xml:space="preserve">Catastrophe Modelling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Tom Eriksen &lt;t.eriksen@zurich-re.internal&gt;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Sarah Chen &lt;s.chen@zurich-re.internal&gt;; Marcus Webb &lt;m.webb@zurich-re.internal&gt;; Priya Kapoor &lt;p.kapoor@zurich-re.internal&gt;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31 October 2025, 08:05</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Tesla BU2 — 2025 combined ratio + renewal strategy — URGENT</w:t>
            </w:r>
          </w:p>
        </w:tc>
      </w:tr>
    </w:tbl>
    <w:p>
      <w:pPr>
        <w:spacing w:after="60"/>
      </w:pPr>
    </w:p>
    <w:p>
      <w:pPr>
        <w:spacing w:after="120"/>
      </w:pPr>
      <w:r>
        <w:rPr>
          <w:rFonts w:ascii="Arial" w:cs="Arial" w:eastAsia="Arial" w:hAnsi="Arial"/>
          <w:sz w:val="21"/>
          <w:szCs w:val="21"/>
        </w:rPr>
        <w:t xml:space="preserve">Team,</w:t>
      </w:r>
    </w:p>
    <w:p>
      <w:pPr>
        <w:spacing w:after="60"/>
      </w:pPr>
    </w:p>
    <w:p>
      <w:pPr>
        <w:spacing w:after="120"/>
      </w:pPr>
      <w:r>
        <w:rPr>
          <w:rFonts w:ascii="Arial" w:cs="Arial" w:eastAsia="Arial" w:hAnsi="Arial"/>
          <w:sz w:val="21"/>
          <w:szCs w:val="21"/>
        </w:rPr>
        <w:t xml:space="preserve">I’ve just come out of the monthly BU2 performance call with Group and need to share the uncomfortable numbers. The Tesla account is now the single largest driver of our 2025 combined ratio deterioration.</w:t>
      </w:r>
    </w:p>
    <w:p>
      <w:pPr>
        <w:spacing w:after="60"/>
      </w:pPr>
    </w:p>
    <w:p>
      <w:pPr>
        <w:spacing w:after="120"/>
      </w:pPr>
      <w:r>
        <w:rPr>
          <w:rFonts w:ascii="Arial" w:cs="Arial" w:eastAsia="Arial" w:hAnsi="Arial"/>
          <w:b/>
          <w:bCs/>
          <w:sz w:val="21"/>
          <w:szCs w:val="21"/>
        </w:rPr>
        <w:t xml:space="preserve">Here’s where we stand on Tesla across all perils for UW year 2025 (net of QS):
</w:t>
      </w:r>
    </w:p>
    <w:p>
      <w:pPr>
        <w:spacing w:after="120"/>
      </w:pPr>
      <w:r>
        <w:rPr>
          <w:rFonts w:ascii="Arial" w:cs="Arial" w:eastAsia="Arial" w:hAnsi="Arial"/>
          <w:sz w:val="21"/>
          <w:szCs w:val="21"/>
        </w:rPr>
        <w:t xml:space="preserve">•  Net earned premium (YTD): ~$77M</w:t>
      </w:r>
    </w:p>
    <w:p>
      <w:pPr>
        <w:spacing w:after="120"/>
      </w:pPr>
      <w:r>
        <w:rPr>
          <w:rFonts w:ascii="Arial" w:cs="Arial" w:eastAsia="Arial" w:hAnsi="Arial"/>
          <w:sz w:val="21"/>
          <w:szCs w:val="21"/>
        </w:rPr>
        <w:t xml:space="preserve">•  Net incurred losses (YTD): ~$165M (including the EQ event at current reserves)</w:t>
      </w:r>
    </w:p>
    <w:p>
      <w:pPr>
        <w:spacing w:after="120"/>
      </w:pPr>
      <w:r>
        <w:rPr>
          <w:rFonts w:ascii="Arial" w:cs="Arial" w:eastAsia="Arial" w:hAnsi="Arial"/>
          <w:sz w:val="21"/>
          <w:szCs w:val="21"/>
        </w:rPr>
        <w:t xml:space="preserve">•  Net loss ratio: ~214%</w:t>
      </w:r>
    </w:p>
    <w:p>
      <w:pPr>
        <w:spacing w:after="120"/>
      </w:pPr>
      <w:r>
        <w:rPr>
          <w:rFonts w:ascii="Arial" w:cs="Arial" w:eastAsia="Arial" w:hAnsi="Arial"/>
          <w:sz w:val="21"/>
          <w:szCs w:val="21"/>
        </w:rPr>
        <w:t xml:space="preserve">•  Combined ratio: ~240%+ once you add expenses</w:t>
      </w:r>
    </w:p>
    <w:p>
      <w:pPr>
        <w:spacing w:after="60"/>
      </w:pPr>
    </w:p>
    <w:p>
      <w:pPr>
        <w:spacing w:after="120"/>
      </w:pPr>
      <w:r>
        <w:rPr>
          <w:rFonts w:ascii="Arial" w:cs="Arial" w:eastAsia="Arial" w:hAnsi="Arial"/>
          <w:sz w:val="21"/>
          <w:szCs w:val="21"/>
        </w:rPr>
        <w:t xml:space="preserve">This is a single-event distortion—the attritional book ex-CAT was running at a perfectly healthy 52% loss ratio through September. But the Hayward Fault EQ has wiped out approximately 3 years of accumulated profit on this account.</w:t>
      </w:r>
    </w:p>
    <w:p>
      <w:pPr>
        <w:spacing w:after="60"/>
      </w:pPr>
    </w:p>
    <w:p>
      <w:pPr>
        <w:spacing w:after="120"/>
      </w:pPr>
      <w:r>
        <w:rPr>
          <w:rFonts w:ascii="Arial" w:cs="Arial" w:eastAsia="Arial" w:hAnsi="Arial"/>
          <w:sz w:val="21"/>
          <w:szCs w:val="21"/>
        </w:rPr>
        <w:t xml:space="preserve">I need three things from you by 10 November:</w:t>
      </w:r>
    </w:p>
    <w:p>
      <w:pPr>
        <w:spacing w:after="60"/>
      </w:pPr>
    </w:p>
    <w:p>
      <w:pPr>
        <w:spacing w:after="120"/>
      </w:pPr>
      <w:r>
        <w:rPr>
          <w:rFonts w:ascii="Arial" w:cs="Arial" w:eastAsia="Arial" w:hAnsi="Arial"/>
          <w:b/>
          <w:bCs/>
          <w:sz w:val="21"/>
          <w:szCs w:val="21"/>
        </w:rPr>
        <w:t xml:space="preserve">1. Marcus: </w:t>
      </w:r>
      <w:r>
        <w:rPr>
          <w:rFonts w:ascii="Arial" w:cs="Arial" w:eastAsia="Arial" w:hAnsi="Arial"/>
          <w:sz w:val="21"/>
          <w:szCs w:val="21"/>
        </w:rPr>
        <w:t xml:space="preserve">Finalised reserve recommendation for the EQ event (all sub-perils) plus a range of outcomes (best/base/adverse). I need to present this to the reserve committee on the 15th with your sign-off.</w:t>
      </w:r>
    </w:p>
    <w:p>
      <w:pPr>
        <w:spacing w:after="120"/>
      </w:pPr>
      <w:r>
        <w:rPr>
          <w:rFonts w:ascii="Arial" w:cs="Arial" w:eastAsia="Arial" w:hAnsi="Arial"/>
          <w:b/>
          <w:bCs/>
          <w:sz w:val="21"/>
          <w:szCs w:val="21"/>
        </w:rPr>
        <w:t xml:space="preserve">2. Priya: </w:t>
      </w:r>
      <w:r>
        <w:rPr>
          <w:rFonts w:ascii="Arial" w:cs="Arial" w:eastAsia="Arial" w:hAnsi="Arial"/>
          <w:sz w:val="21"/>
          <w:szCs w:val="21"/>
        </w:rPr>
        <w:t xml:space="preserve">Corrected PML based on the updated COPE data. If the 250-year PML is really $2.5B, we need to discuss whether our current treaty structure provides adequate protection or whether we need to buy additional CAT XL for the renewal.</w:t>
      </w:r>
    </w:p>
    <w:p>
      <w:pPr>
        <w:spacing w:after="120"/>
      </w:pPr>
      <w:r>
        <w:rPr>
          <w:rFonts w:ascii="Arial" w:cs="Arial" w:eastAsia="Arial" w:hAnsi="Arial"/>
          <w:b/>
          <w:bCs/>
          <w:sz w:val="21"/>
          <w:szCs w:val="21"/>
        </w:rPr>
        <w:t xml:space="preserve">3. Sarah: </w:t>
      </w:r>
      <w:r>
        <w:rPr>
          <w:rFonts w:ascii="Arial" w:cs="Arial" w:eastAsia="Arial" w:hAnsi="Arial"/>
          <w:sz w:val="21"/>
          <w:szCs w:val="21"/>
        </w:rPr>
        <w:t xml:space="preserve">Renewal pricing recommendation. Given the loss experience and the corrected PML, I want to see what rate increase we need to bring this account back to a target 85% combined ratio over a 3-year horizon. If the answer is a 40%+ rate increase, we need to start that conversation with Guy Carpenter now—Tesla will push back hard.</w:t>
      </w:r>
    </w:p>
    <w:p>
      <w:pPr>
        <w:spacing w:after="60"/>
      </w:pPr>
    </w:p>
    <w:p>
      <w:pPr>
        <w:spacing w:after="120"/>
      </w:pPr>
      <w:r>
        <w:rPr>
          <w:rFonts w:ascii="Arial" w:cs="Arial" w:eastAsia="Arial" w:hAnsi="Arial"/>
          <w:sz w:val="21"/>
          <w:szCs w:val="21"/>
        </w:rPr>
        <w:t xml:space="preserve">I know this is a tight timeline but Group is watching this account closely. Let’s regroup Tuesday morning.</w:t>
      </w:r>
    </w:p>
    <w:p>
      <w:pPr>
        <w:spacing w:after="60"/>
      </w:pPr>
    </w:p>
    <w:p>
      <w:pPr>
        <w:spacing w:after="40"/>
      </w:pPr>
      <w:r>
        <w:rPr>
          <w:rFonts w:ascii="Arial" w:cs="Arial" w:eastAsia="Arial" w:hAnsi="Arial"/>
          <w:b/>
          <w:bCs/>
          <w:sz w:val="21"/>
          <w:szCs w:val="21"/>
        </w:rPr>
        <w:t xml:space="preserve">Tom</w:t>
      </w:r>
    </w:p>
    <w:p>
      <w:pPr>
        <w:spacing w:after="200"/>
      </w:pPr>
      <w:r>
        <w:rPr>
          <w:rFonts w:ascii="Arial" w:cs="Arial" w:eastAsia="Arial" w:hAnsi="Arial"/>
          <w:i/>
          <w:iCs/>
          <w:color w:val="666666"/>
          <w:sz w:val="19"/>
          <w:szCs w:val="19"/>
        </w:rPr>
        <w:t xml:space="preserve">Head of Underwriting — BU2 Industrial &amp; Specialty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Marcus Webb &lt;m.webb@zurich-re.internal&gt;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Tom Eriksen &lt;t.eriksen@zurich-re.internal&gt;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Cc:</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Sarah Chen &lt;s.chen@zurich-re.internal&gt;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3 November 2025, 16:48</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RE: Actuarial sign-off — reserve concerns on autopilot class action</w:t>
            </w:r>
          </w:p>
        </w:tc>
      </w:tr>
    </w:tbl>
    <w:p>
      <w:pPr>
        <w:spacing w:after="60"/>
      </w:pPr>
    </w:p>
    <w:p>
      <w:pPr>
        <w:spacing w:after="120"/>
      </w:pPr>
      <w:r>
        <w:rPr>
          <w:rFonts w:ascii="Arial" w:cs="Arial" w:eastAsia="Arial" w:hAnsi="Arial"/>
          <w:sz w:val="21"/>
          <w:szCs w:val="21"/>
        </w:rPr>
        <w:t xml:space="preserve">Tom,</w:t>
      </w:r>
    </w:p>
    <w:p>
      <w:pPr>
        <w:spacing w:after="60"/>
      </w:pPr>
    </w:p>
    <w:p>
      <w:pPr>
        <w:spacing w:after="120"/>
      </w:pPr>
      <w:r>
        <w:rPr>
          <w:rFonts w:ascii="Arial" w:cs="Arial" w:eastAsia="Arial" w:hAnsi="Arial"/>
          <w:sz w:val="21"/>
          <w:szCs w:val="21"/>
        </w:rPr>
        <w:t xml:space="preserve">Before I can sign off on the total Tesla reserve position, I need to flag a separate issue that’s been bothering me independently of the EQ event.</w:t>
      </w:r>
    </w:p>
    <w:p>
      <w:pPr>
        <w:spacing w:after="60"/>
      </w:pPr>
    </w:p>
    <w:p>
      <w:pPr>
        <w:spacing w:after="120"/>
      </w:pPr>
      <w:r>
        <w:rPr>
          <w:rFonts w:ascii="Arial" w:cs="Arial" w:eastAsia="Arial" w:hAnsi="Arial"/>
          <w:b/>
          <w:bCs/>
          <w:sz w:val="21"/>
          <w:szCs w:val="21"/>
        </w:rPr>
        <w:t xml:space="preserve">The autopilot product liability claim (EVT-2025-PL-004, Garcia v. Tesla) </w:t>
      </w:r>
      <w:r>
        <w:rPr>
          <w:rFonts w:ascii="Arial" w:cs="Arial" w:eastAsia="Arial" w:hAnsi="Arial"/>
          <w:sz w:val="21"/>
          <w:szCs w:val="21"/>
        </w:rPr>
        <w:t xml:space="preserve">is currently booked at $0 paid / $4.5M fees / $85M case reserve / $40M IBNR = $129.5M gross incurred. The claim status is “1” (Open) in our system but this is actually in active federal litigation in the Southern District of New York.</w:t>
      </w:r>
    </w:p>
    <w:p>
      <w:pPr>
        <w:spacing w:after="60"/>
      </w:pPr>
    </w:p>
    <w:p>
      <w:pPr>
        <w:spacing w:after="120"/>
      </w:pPr>
      <w:r>
        <w:rPr>
          <w:rFonts w:ascii="Arial" w:cs="Arial" w:eastAsia="Arial" w:hAnsi="Arial"/>
          <w:sz w:val="21"/>
          <w:szCs w:val="21"/>
        </w:rPr>
        <w:t xml:space="preserve">My concern is threefold:</w:t>
      </w:r>
    </w:p>
    <w:p>
      <w:pPr>
        <w:spacing w:after="60"/>
      </w:pPr>
    </w:p>
    <w:p>
      <w:pPr>
        <w:spacing w:after="120"/>
      </w:pPr>
      <w:r>
        <w:rPr>
          <w:rFonts w:ascii="Arial" w:cs="Arial" w:eastAsia="Arial" w:hAnsi="Arial"/>
          <w:b/>
          <w:bCs/>
          <w:sz w:val="21"/>
          <w:szCs w:val="21"/>
        </w:rPr>
        <w:t xml:space="preserve">a) Benchmark comparison. </w:t>
      </w:r>
      <w:r>
        <w:rPr>
          <w:rFonts w:ascii="Arial" w:cs="Arial" w:eastAsia="Arial" w:hAnsi="Arial"/>
          <w:sz w:val="21"/>
          <w:szCs w:val="21"/>
        </w:rPr>
        <w:t xml:space="preserve">The Uber ATG settlement in Arizona (2023) came in at $150M+ for a single fatality. Garcia v. Tesla involves multiple plaintiffs and a class certification motion pending in January 2026. If the class is certified, defence costs alone could exceed $20M, and the ultimate settlement range widens to $200M–$500M depending on class size. Our $129.5M provision looks adequate only if the class is NOT certified.</w:t>
      </w:r>
    </w:p>
    <w:p>
      <w:pPr>
        <w:spacing w:after="120"/>
      </w:pPr>
      <w:r>
        <w:rPr>
          <w:rFonts w:ascii="Arial" w:cs="Arial" w:eastAsia="Arial" w:hAnsi="Arial"/>
          <w:b/>
          <w:bCs/>
          <w:sz w:val="21"/>
          <w:szCs w:val="21"/>
        </w:rPr>
        <w:t xml:space="preserve">b) Development pattern. </w:t>
      </w:r>
      <w:r>
        <w:rPr>
          <w:rFonts w:ascii="Arial" w:cs="Arial" w:eastAsia="Arial" w:hAnsi="Arial"/>
          <w:sz w:val="21"/>
          <w:szCs w:val="21"/>
        </w:rPr>
        <w:t xml:space="preserve">Product liability claims in the autonomous vehicle space have no credible actuarial development triangle—this is a “first of its kind” exposure class. The loss triangle in the BDX shows historical Tesla claims developing on a manufacturing/industrial pattern, but that’s apples and oranges. We’re essentially pricing in the dark on the tail.</w:t>
      </w:r>
    </w:p>
    <w:p>
      <w:pPr>
        <w:spacing w:after="120"/>
      </w:pPr>
      <w:r>
        <w:rPr>
          <w:rFonts w:ascii="Arial" w:cs="Arial" w:eastAsia="Arial" w:hAnsi="Arial"/>
          <w:b/>
          <w:bCs/>
          <w:sz w:val="21"/>
          <w:szCs w:val="21"/>
        </w:rPr>
        <w:t xml:space="preserve">c) Correlated exposure. </w:t>
      </w:r>
      <w:r>
        <w:rPr>
          <w:rFonts w:ascii="Arial" w:cs="Arial" w:eastAsia="Arial" w:hAnsi="Arial"/>
          <w:sz w:val="21"/>
          <w:szCs w:val="21"/>
        </w:rPr>
        <w:t xml:space="preserve">If the Garcia ruling goes against Tesla, it creates precedent for hundreds of similar claims. The $129.5M is a single-claim reserve, but the systemic exposure from an adverse ruling could be a multiple of that. I don’t think we have adequate IBNR for the portfolio-level contagion risk.</w:t>
      </w:r>
    </w:p>
    <w:p>
      <w:pPr>
        <w:spacing w:after="60"/>
      </w:pPr>
    </w:p>
    <w:p>
      <w:pPr>
        <w:spacing w:after="120"/>
      </w:pPr>
      <w:r>
        <w:rPr>
          <w:rFonts w:ascii="Arial" w:cs="Arial" w:eastAsia="Arial" w:hAnsi="Arial"/>
          <w:sz w:val="21"/>
          <w:szCs w:val="21"/>
        </w:rPr>
        <w:t xml:space="preserve">I’m prepared to sign off the EQ reserves with the revised IBNR Sarah and I discussed. But I want to flag the autopilot PL as a separate “deficient” reserve with a recommended range of $129.5M (current) to $350M (adverse) in the committee paper. I won’t put “Adequate” next to that line—it’ll be flagged red.</w:t>
      </w:r>
    </w:p>
    <w:p>
      <w:pPr>
        <w:spacing w:after="60"/>
      </w:pPr>
    </w:p>
    <w:p>
      <w:pPr>
        <w:spacing w:after="40"/>
      </w:pPr>
      <w:r>
        <w:rPr>
          <w:rFonts w:ascii="Arial" w:cs="Arial" w:eastAsia="Arial" w:hAnsi="Arial"/>
          <w:b/>
          <w:bCs/>
          <w:sz w:val="21"/>
          <w:szCs w:val="21"/>
        </w:rPr>
        <w:t xml:space="preserve">Marcus</w:t>
      </w:r>
    </w:p>
    <w:p>
      <w:pPr>
        <w:spacing w:after="200"/>
      </w:pPr>
      <w:r>
        <w:rPr>
          <w:rFonts w:ascii="Arial" w:cs="Arial" w:eastAsia="Arial" w:hAnsi="Arial"/>
          <w:i/>
          <w:iCs/>
          <w:color w:val="666666"/>
          <w:sz w:val="19"/>
          <w:szCs w:val="19"/>
        </w:rPr>
        <w:t xml:space="preserve">Chief Actuary — Reserving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Sarah Chen &lt;s.chen@zurich-re.internal&gt;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Priya Kapoor &lt;p.kapoor@zurich-re.internal&gt;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4 November 2025, 10:15</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RE: Updated RMS run — corrected construction types + secondary modifiers</w:t>
            </w:r>
          </w:p>
        </w:tc>
      </w:tr>
    </w:tbl>
    <w:p>
      <w:pPr>
        <w:spacing w:after="60"/>
      </w:pPr>
    </w:p>
    <w:p>
      <w:pPr>
        <w:spacing w:after="120"/>
      </w:pPr>
      <w:r>
        <w:rPr>
          <w:rFonts w:ascii="Arial" w:cs="Arial" w:eastAsia="Arial" w:hAnsi="Arial"/>
          <w:sz w:val="21"/>
          <w:szCs w:val="21"/>
        </w:rPr>
        <w:t xml:space="preserve">Priya,</w:t>
      </w:r>
    </w:p>
    <w:p>
      <w:pPr>
        <w:spacing w:after="60"/>
      </w:pPr>
    </w:p>
    <w:p>
      <w:pPr>
        <w:spacing w:after="120"/>
      </w:pPr>
      <w:r>
        <w:rPr>
          <w:rFonts w:ascii="Arial" w:cs="Arial" w:eastAsia="Arial" w:hAnsi="Arial"/>
          <w:sz w:val="21"/>
          <w:szCs w:val="21"/>
        </w:rPr>
        <w:t xml:space="preserve">Thanks for catching the construction type issue—that’s a good save. Before you run the final model, I want to flag two additional inputs that I think need adjusting:</w:t>
      </w:r>
    </w:p>
    <w:p>
      <w:pPr>
        <w:spacing w:after="60"/>
      </w:pPr>
    </w:p>
    <w:p>
      <w:pPr>
        <w:spacing w:after="120"/>
      </w:pPr>
      <w:r>
        <w:rPr>
          <w:rFonts w:ascii="Arial" w:cs="Arial" w:eastAsia="Arial" w:hAnsi="Arial"/>
          <w:b/>
          <w:bCs/>
          <w:sz w:val="21"/>
          <w:szCs w:val="21"/>
        </w:rPr>
        <w:t xml:space="preserve">1. Sprinkler seismic bracing. </w:t>
      </w:r>
      <w:r>
        <w:rPr>
          <w:rFonts w:ascii="Arial" w:cs="Arial" w:eastAsia="Arial" w:hAnsi="Arial"/>
          <w:sz w:val="21"/>
          <w:szCs w:val="21"/>
        </w:rPr>
        <w:t xml:space="preserve">The SOV says “sprinklered: Yes” for Fremont, but that’s a binary field and doesn’t capture whether the sprinkler system has seismic bracing. Tesla completed a seismic retrofit in 2023 that included bracing the ESFR sprinkler risers and laterals. This should reduce the fire-following-EQ damage ratio by 15–20% in the model. Can you check whether RMS has a secondary modifier for sprinkler resilience post-EQ? If not, we may need to apply a manual adjustment to the FFEQ damage function.</w:t>
      </w:r>
    </w:p>
    <w:p>
      <w:pPr>
        <w:spacing w:after="60"/>
      </w:pPr>
    </w:p>
    <w:p>
      <w:pPr>
        <w:spacing w:after="120"/>
      </w:pPr>
      <w:r>
        <w:rPr>
          <w:rFonts w:ascii="Arial" w:cs="Arial" w:eastAsia="Arial" w:hAnsi="Arial"/>
          <w:b/>
          <w:bCs/>
          <w:sz w:val="21"/>
          <w:szCs w:val="21"/>
        </w:rPr>
        <w:t xml:space="preserve">2. Business interruption waiting period. </w:t>
      </w:r>
      <w:r>
        <w:rPr>
          <w:rFonts w:ascii="Arial" w:cs="Arial" w:eastAsia="Arial" w:hAnsi="Arial"/>
          <w:sz w:val="21"/>
          <w:szCs w:val="21"/>
        </w:rPr>
        <w:t xml:space="preserve">The BI value in the SOV is $3.8B for Fremont on a 12-month indemnity period, but the treaty has a 48-hour waiting period (deductible). The RMS output should reflect this—i.e., the first 48 hours of lost production are not covered. For a plant running 24/7, that’s roughly $19M that should be deducted from any BI loss scenario. Small in the context of a $3.8B exposure, but it matters for the attritional BI claims.</w:t>
      </w:r>
    </w:p>
    <w:p>
      <w:pPr>
        <w:spacing w:after="60"/>
      </w:pPr>
    </w:p>
    <w:p>
      <w:pPr>
        <w:spacing w:after="120"/>
      </w:pPr>
      <w:r>
        <w:rPr>
          <w:rFonts w:ascii="Arial" w:cs="Arial" w:eastAsia="Arial" w:hAnsi="Arial"/>
          <w:sz w:val="21"/>
          <w:szCs w:val="21"/>
        </w:rPr>
        <w:t xml:space="preserve">Also—could you run a sensitivity on the soil classification? The Fremont plant sits on Bay Mud (NEHRP class E), which amplifies ground motion significantly compared to bedrock. I want to make sure the RMS geocoding is picking up the actual site conditions rather than defaulting to a ZIP-code average.</w:t>
      </w:r>
    </w:p>
    <w:p>
      <w:pPr>
        <w:spacing w:after="60"/>
      </w:pPr>
    </w:p>
    <w:p>
      <w:pPr>
        <w:spacing w:after="40"/>
      </w:pPr>
      <w:r>
        <w:rPr>
          <w:rFonts w:ascii="Arial" w:cs="Arial" w:eastAsia="Arial" w:hAnsi="Arial"/>
          <w:b/>
          <w:bCs/>
          <w:sz w:val="21"/>
          <w:szCs w:val="21"/>
        </w:rPr>
        <w:t xml:space="preserve">Sarah</w:t>
      </w:r>
    </w:p>
    <w:p>
      <w:pPr>
        <w:spacing w:after="200"/>
      </w:pPr>
      <w:r>
        <w:rPr>
          <w:rFonts w:ascii="Arial" w:cs="Arial" w:eastAsia="Arial" w:hAnsi="Arial"/>
          <w:i/>
          <w:iCs/>
          <w:color w:val="666666"/>
          <w:sz w:val="19"/>
          <w:szCs w:val="19"/>
        </w:rPr>
        <w:t xml:space="preserve">Senior Underwriter — Industrial &amp; Specialty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Priya Kapoor &lt;p.kapoor@zurich-re.internal&gt;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Sarah Chen &lt;s.chen@zurich-re.internal&gt;; Marcus Webb &lt;m.webb@zurich-re.internal&gt;; Tom Eriksen &lt;t.eriksen@zurich-re.internal&gt;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7 November 2025, 14:33</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Tesla EQ — revised model output + PML summary — ACTION REQUIRED</w:t>
            </w:r>
          </w:p>
        </w:tc>
      </w:tr>
    </w:tbl>
    <w:p>
      <w:pPr>
        <w:spacing w:after="60"/>
      </w:pPr>
    </w:p>
    <w:p>
      <w:pPr>
        <w:spacing w:after="120"/>
      </w:pPr>
      <w:r>
        <w:rPr>
          <w:rFonts w:ascii="Arial" w:cs="Arial" w:eastAsia="Arial" w:hAnsi="Arial"/>
          <w:sz w:val="21"/>
          <w:szCs w:val="21"/>
        </w:rPr>
        <w:t xml:space="preserve">All,</w:t>
      </w:r>
    </w:p>
    <w:p>
      <w:pPr>
        <w:spacing w:after="60"/>
      </w:pPr>
    </w:p>
    <w:p>
      <w:pPr>
        <w:spacing w:after="120"/>
      </w:pPr>
      <w:r>
        <w:rPr>
          <w:rFonts w:ascii="Arial" w:cs="Arial" w:eastAsia="Arial" w:hAnsi="Arial"/>
          <w:sz w:val="21"/>
          <w:szCs w:val="21"/>
        </w:rPr>
        <w:t xml:space="preserve">The corrected RMS run is complete. Here’s the summary—full output on the shared drive under /BU2/Tesla/CAT-Model/2025-11-07/.</w:t>
      </w:r>
    </w:p>
    <w:p>
      <w:pPr>
        <w:spacing w:after="60"/>
      </w:pPr>
    </w:p>
    <w:p>
      <w:pPr>
        <w:spacing w:after="120"/>
      </w:pPr>
      <w:r>
        <w:rPr>
          <w:rFonts w:ascii="Arial" w:cs="Arial" w:eastAsia="Arial" w:hAnsi="Arial"/>
          <w:b/>
          <w:bCs/>
          <w:sz w:val="21"/>
          <w:szCs w:val="21"/>
        </w:rPr>
        <w:t xml:space="preserve">Key changes from the original submission model:</w:t>
      </w:r>
    </w:p>
    <w:p>
      <w:pPr>
        <w:spacing w:after="60"/>
      </w:pPr>
    </w:p>
    <w:p>
      <w:pPr>
        <w:spacing w:after="120"/>
      </w:pPr>
      <w:r>
        <w:rPr>
          <w:rFonts w:ascii="Arial" w:cs="Arial" w:eastAsia="Arial" w:hAnsi="Arial"/>
          <w:sz w:val="21"/>
          <w:szCs w:val="21"/>
        </w:rPr>
        <w:t xml:space="preserve">•  Fremont construction: corrected from 1A (RC) to 2B (Steel Frame + Concrete Shear Walls)</w:t>
      </w:r>
    </w:p>
    <w:p>
      <w:pPr>
        <w:spacing w:after="120"/>
      </w:pPr>
      <w:r>
        <w:rPr>
          <w:rFonts w:ascii="Arial" w:cs="Arial" w:eastAsia="Arial" w:hAnsi="Arial"/>
          <w:sz w:val="21"/>
          <w:szCs w:val="21"/>
        </w:rPr>
        <w:t xml:space="preserve">•  Sprinkler: added seismic bracing modifier (post-EQ operability: 85% vs. 60% default)</w:t>
      </w:r>
    </w:p>
    <w:p>
      <w:pPr>
        <w:spacing w:after="120"/>
      </w:pPr>
      <w:r>
        <w:rPr>
          <w:rFonts w:ascii="Arial" w:cs="Arial" w:eastAsia="Arial" w:hAnsi="Arial"/>
          <w:sz w:val="21"/>
          <w:szCs w:val="21"/>
        </w:rPr>
        <w:t xml:space="preserve">•  Soil class: overridden from ZIP-average (Class D) to site-specific (Class E — Bay Mud)</w:t>
      </w:r>
    </w:p>
    <w:p>
      <w:pPr>
        <w:spacing w:after="120"/>
      </w:pPr>
      <w:r>
        <w:rPr>
          <w:rFonts w:ascii="Arial" w:cs="Arial" w:eastAsia="Arial" w:hAnsi="Arial"/>
          <w:sz w:val="21"/>
          <w:szCs w:val="21"/>
        </w:rPr>
        <w:t xml:space="preserve">•  BI: 48-hour waiting period deducted from all scenarios</w:t>
      </w:r>
    </w:p>
    <w:p>
      <w:pPr>
        <w:spacing w:after="60"/>
      </w:pPr>
    </w:p>
    <w:p>
      <w:pPr>
        <w:spacing w:after="120"/>
      </w:pPr>
      <w:r>
        <w:rPr>
          <w:rFonts w:ascii="Arial" w:cs="Arial" w:eastAsia="Arial" w:hAnsi="Arial"/>
          <w:b/>
          <w:bCs/>
          <w:sz w:val="21"/>
          <w:szCs w:val="21"/>
        </w:rPr>
        <w:t xml:space="preserve">Revised PML results (gross, pre-cession):</w:t>
      </w:r>
    </w:p>
    <w:p>
      <w:pPr>
        <w:spacing w:after="60"/>
      </w:pPr>
    </w:p>
    <w:p>
      <w:pPr>
        <w:spacing w:after="120"/>
      </w:pPr>
      <w:r>
        <w:rPr>
          <w:rFonts w:ascii="Arial" w:cs="Arial" w:eastAsia="Arial" w:hAnsi="Arial"/>
          <w:sz w:val="21"/>
          <w:szCs w:val="21"/>
        </w:rPr>
        <w:t xml:space="preserve">•  100-year RP:  $1.4B  (was $0.9B)  —  +56%</w:t>
      </w:r>
    </w:p>
    <w:p>
      <w:pPr>
        <w:spacing w:after="120"/>
      </w:pPr>
      <w:r>
        <w:rPr>
          <w:rFonts w:ascii="Arial" w:cs="Arial" w:eastAsia="Arial" w:hAnsi="Arial"/>
          <w:sz w:val="21"/>
          <w:szCs w:val="21"/>
        </w:rPr>
        <w:t xml:space="preserve">•  250-year RP:  $2.7B  (was $1.8B)  —  +50%</w:t>
      </w:r>
    </w:p>
    <w:p>
      <w:pPr>
        <w:spacing w:after="120"/>
      </w:pPr>
      <w:r>
        <w:rPr>
          <w:rFonts w:ascii="Arial" w:cs="Arial" w:eastAsia="Arial" w:hAnsi="Arial"/>
          <w:sz w:val="21"/>
          <w:szCs w:val="21"/>
        </w:rPr>
        <w:t xml:space="preserve">•  500-year RP:  $3.8B  (was $2.5B)  —  +52%</w:t>
      </w:r>
    </w:p>
    <w:p>
      <w:pPr>
        <w:spacing w:after="60"/>
      </w:pPr>
    </w:p>
    <w:p>
      <w:pPr>
        <w:spacing w:after="120"/>
      </w:pPr>
      <w:r>
        <w:rPr>
          <w:rFonts w:ascii="Arial" w:cs="Arial" w:eastAsia="Arial" w:hAnsi="Arial"/>
          <w:b/>
          <w:bCs/>
          <w:sz w:val="21"/>
          <w:szCs w:val="21"/>
        </w:rPr>
        <w:t xml:space="preserve">The soil class correction is the biggest single driver </w:t>
      </w:r>
      <w:r>
        <w:rPr>
          <w:rFonts w:ascii="Arial" w:cs="Arial" w:eastAsia="Arial" w:hAnsi="Arial"/>
          <w:sz w:val="21"/>
          <w:szCs w:val="21"/>
        </w:rPr>
        <w:t xml:space="preserve">(—accounts for ~60% of the PML increase). Bay Mud amplifies peak ground acceleration by a factor of 2–3x compared to bedrock, and the ZIP-code average was masking this because most of the Fremont ZIP includes firmer alluvial deposits. Site-specific geocoding is essential for any California EQ exposure—this is a known issue in the industry but it still catches people out.</w:t>
      </w:r>
    </w:p>
    <w:p>
      <w:pPr>
        <w:spacing w:after="60"/>
      </w:pPr>
    </w:p>
    <w:p>
      <w:pPr>
        <w:spacing w:after="120"/>
      </w:pPr>
      <w:r>
        <w:rPr>
          <w:rFonts w:ascii="Arial" w:cs="Arial" w:eastAsia="Arial" w:hAnsi="Arial"/>
          <w:b/>
          <w:bCs/>
          <w:sz w:val="21"/>
          <w:szCs w:val="21"/>
        </w:rPr>
        <w:t xml:space="preserve">The sprinkler bracing adjustment partially offsets the FFEQ component </w:t>
      </w:r>
      <w:r>
        <w:rPr>
          <w:rFonts w:ascii="Arial" w:cs="Arial" w:eastAsia="Arial" w:hAnsi="Arial"/>
          <w:sz w:val="21"/>
          <w:szCs w:val="21"/>
        </w:rPr>
        <w:t xml:space="preserve">(—reduces fire-following losses by ~18% vs. the unbraced scenario). Without the 2023 retrofit, the 250-year FFEQ PML would be $320M. With bracing, it’s $262M. This is exactly why we push insureds to invest in resilience measures—it’s a $58M reduction for what probably cost Tesla $3–5M to install.</w:t>
      </w:r>
    </w:p>
    <w:p>
      <w:pPr>
        <w:spacing w:after="60"/>
      </w:pPr>
    </w:p>
    <w:p>
      <w:pPr>
        <w:spacing w:after="120"/>
      </w:pPr>
      <w:r>
        <w:rPr>
          <w:rFonts w:ascii="Arial" w:cs="Arial" w:eastAsia="Arial" w:hAnsi="Arial"/>
          <w:b/>
          <w:bCs/>
          <w:sz w:val="21"/>
          <w:szCs w:val="21"/>
        </w:rPr>
        <w:t xml:space="preserve">Implications for pricing: </w:t>
      </w:r>
      <w:r>
        <w:rPr>
          <w:rFonts w:ascii="Arial" w:cs="Arial" w:eastAsia="Arial" w:hAnsi="Arial"/>
          <w:sz w:val="21"/>
          <w:szCs w:val="21"/>
        </w:rPr>
        <w:t xml:space="preserve">Based on the revised 250-year PML of $2.7B, the current EQ base rate of 1.20% generates a technical premium of ~$32M against a modelled AAL (average annual loss) of $38M. The rate is insufficient—we’re not even covering the expected loss, let alone margin. I’d recommend a minimum EQ base rate of 1.80% to achieve a 90% target loss ratio, or 2.10% if we want to build in a CAT load for years like 2025.</w:t>
      </w:r>
    </w:p>
    <w:p>
      <w:pPr>
        <w:spacing w:after="60"/>
      </w:pPr>
    </w:p>
    <w:p>
      <w:pPr>
        <w:spacing w:after="120"/>
      </w:pPr>
      <w:r>
        <w:rPr>
          <w:rFonts w:ascii="Arial" w:cs="Arial" w:eastAsia="Arial" w:hAnsi="Arial"/>
          <w:sz w:val="21"/>
          <w:szCs w:val="21"/>
        </w:rPr>
        <w:t xml:space="preserve">Sarah—this feeds directly into your renewal pricing. Happy to walk Tom through the model output on Tuesday if helpful.</w:t>
      </w:r>
    </w:p>
    <w:p>
      <w:pPr>
        <w:spacing w:after="60"/>
      </w:pPr>
    </w:p>
    <w:p>
      <w:pPr>
        <w:spacing w:after="40"/>
      </w:pPr>
      <w:r>
        <w:rPr>
          <w:rFonts w:ascii="Arial" w:cs="Arial" w:eastAsia="Arial" w:hAnsi="Arial"/>
          <w:b/>
          <w:bCs/>
          <w:sz w:val="21"/>
          <w:szCs w:val="21"/>
        </w:rPr>
        <w:t xml:space="preserve">Priya</w:t>
      </w:r>
    </w:p>
    <w:p>
      <w:pPr>
        <w:spacing w:after="200"/>
      </w:pPr>
      <w:r>
        <w:rPr>
          <w:rFonts w:ascii="Arial" w:cs="Arial" w:eastAsia="Arial" w:hAnsi="Arial"/>
          <w:i/>
          <w:iCs/>
          <w:color w:val="666666"/>
          <w:sz w:val="19"/>
          <w:szCs w:val="19"/>
        </w:rPr>
        <w:t xml:space="preserve">Catastrophe Modelling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none" w:color="FFFFFF" w:sz="0"/>
              <w:bottom w:val="none" w:color="FFFFFF" w:sz="0"/>
              <w:right w:val="none" w:color="FFFFFF" w:sz="0"/>
            </w:tcBorders>
          </w:tcPr>
          <w:p>
            <w:pPr>
              <w:spacing w:after="0"/>
            </w:pP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From:</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Marcus Webb &lt;m.webb@zurich-re.internal&gt;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To:</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Tom Eriksen &lt;t.eriksen@zurich-re.internal&gt;; Sarah Chen &lt;s.chen@zurich-re.internal&gt;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Cc:</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Priya Kapoor &lt;p.kapoor@zurich-re.internal&gt;</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Date:</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10 November 2025, 09:02</w:t>
            </w:r>
          </w:p>
        </w:tc>
      </w:tr>
      <w:tr>
        <w:tc>
          <w:tcPr>
            <w:tcW w:type="dxa" w:w="120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b/>
                <w:bCs/>
                <w:color w:val="555555"/>
                <w:sz w:val="20"/>
                <w:szCs w:val="20"/>
              </w:rPr>
              <w:t xml:space="preserve">Subject:</w:t>
            </w:r>
          </w:p>
        </w:tc>
        <w:tc>
          <w:tcPr>
            <w:tcW w:type="dxa" w:w="8160"/>
            <w:tcBorders>
              <w:top w:val="none" w:color="FFFFFF" w:sz="0"/>
              <w:left w:val="none" w:color="FFFFFF" w:sz="0"/>
              <w:bottom w:val="none" w:color="FFFFFF" w:sz="0"/>
              <w:right w:val="none" w:color="FFFFFF" w:sz="0"/>
            </w:tcBorders>
            <w:tcMar>
              <w:top w:type="dxa" w:w="20"/>
              <w:left w:type="dxa" w:w="80"/>
              <w:bottom w:type="dxa" w:w="20"/>
              <w:right w:type="dxa" w:w="80"/>
            </w:tcMar>
          </w:tcPr>
          <w:p>
            <w:r>
              <w:rPr>
                <w:rFonts w:ascii="Arial" w:cs="Arial" w:eastAsia="Arial" w:hAnsi="Arial"/>
                <w:sz w:val="20"/>
                <w:szCs w:val="20"/>
              </w:rPr>
              <w:t xml:space="preserve">Tesla — Final reserve recommendation for 15 Nov committee — SIGN-OFF WITH CAVEATS</w:t>
            </w:r>
          </w:p>
        </w:tc>
      </w:tr>
    </w:tbl>
    <w:p>
      <w:pPr>
        <w:spacing w:after="60"/>
      </w:pPr>
    </w:p>
    <w:p>
      <w:pPr>
        <w:spacing w:after="120"/>
      </w:pPr>
      <w:r>
        <w:rPr>
          <w:rFonts w:ascii="Arial" w:cs="Arial" w:eastAsia="Arial" w:hAnsi="Arial"/>
          <w:sz w:val="21"/>
          <w:szCs w:val="21"/>
        </w:rPr>
        <w:t xml:space="preserve">Tom, Sarah,</w:t>
      </w:r>
    </w:p>
    <w:p>
      <w:pPr>
        <w:spacing w:after="60"/>
      </w:pPr>
    </w:p>
    <w:p>
      <w:pPr>
        <w:spacing w:after="120"/>
      </w:pPr>
      <w:r>
        <w:rPr>
          <w:rFonts w:ascii="Arial" w:cs="Arial" w:eastAsia="Arial" w:hAnsi="Arial"/>
          <w:sz w:val="21"/>
          <w:szCs w:val="21"/>
        </w:rPr>
        <w:t xml:space="preserve">Attaching the formal reserve recommendation memo for the committee. Below is the executive summary. I’m signing off with two explicit caveats noted in the memo.</w:t>
      </w:r>
    </w:p>
    <w:p>
      <w:pPr>
        <w:spacing w:after="60"/>
      </w:pPr>
    </w:p>
    <w:p>
      <w:pPr>
        <w:spacing w:after="120"/>
      </w:pPr>
      <w:r>
        <w:rPr>
          <w:rFonts w:ascii="Arial" w:cs="Arial" w:eastAsia="Arial" w:hAnsi="Arial"/>
          <w:b/>
          <w:bCs/>
          <w:sz w:val="21"/>
          <w:szCs w:val="21"/>
        </w:rPr>
        <w:t xml:space="preserve">RESERVE POSITION — ALL TESLA PERILS — AS AT 31/12/2025 (PROJECTED)</w:t>
      </w:r>
    </w:p>
    <w:p>
      <w:pPr>
        <w:spacing w:after="60"/>
      </w:pPr>
    </w:p>
    <w:p>
      <w:pPr>
        <w:spacing w:after="120"/>
      </w:pPr>
      <w:r>
        <w:rPr>
          <w:rFonts w:ascii="Arial" w:cs="Arial" w:eastAsia="Arial" w:hAnsi="Arial"/>
          <w:b/>
          <w:bCs/>
          <w:sz w:val="21"/>
          <w:szCs w:val="21"/>
        </w:rPr>
        <w:t xml:space="preserve">A. Earthquake event (EVT-2025-EQ-001, all sub-perils combined):</w:t>
      </w:r>
    </w:p>
    <w:p>
      <w:pPr>
        <w:spacing w:after="120"/>
      </w:pPr>
      <w:r>
        <w:rPr>
          <w:rFonts w:ascii="Arial" w:cs="Arial" w:eastAsia="Arial" w:hAnsi="Arial"/>
          <w:sz w:val="21"/>
          <w:szCs w:val="21"/>
        </w:rPr>
        <w:t xml:space="preserve">•  Best estimate: $688M gross incurred (current BDX position)</w:t>
      </w:r>
    </w:p>
    <w:p>
      <w:pPr>
        <w:spacing w:after="120"/>
      </w:pPr>
      <w:r>
        <w:rPr>
          <w:rFonts w:ascii="Arial" w:cs="Arial" w:eastAsia="Arial" w:hAnsi="Arial"/>
          <w:sz w:val="21"/>
          <w:szCs w:val="21"/>
        </w:rPr>
        <w:t xml:space="preserve">•  Recommended: $780M gross incurred (+$92M additional IBNR)</w:t>
      </w:r>
    </w:p>
    <w:p>
      <w:pPr>
        <w:spacing w:after="120"/>
      </w:pPr>
      <w:r>
        <w:rPr>
          <w:rFonts w:ascii="Arial" w:cs="Arial" w:eastAsia="Arial" w:hAnsi="Arial"/>
          <w:sz w:val="21"/>
          <w:szCs w:val="21"/>
        </w:rPr>
        <w:t xml:space="preserve">•  Adverse scenario: $1.05B gross incurred (if BI extends to 14+ weeks AND supply chain contagion to Tier 2/3)</w:t>
      </w:r>
    </w:p>
    <w:p>
      <w:pPr>
        <w:spacing w:after="120"/>
      </w:pPr>
      <w:r>
        <w:rPr>
          <w:rFonts w:ascii="Arial" w:cs="Arial" w:eastAsia="Arial" w:hAnsi="Arial"/>
          <w:sz w:val="21"/>
          <w:szCs w:val="21"/>
        </w:rPr>
        <w:t xml:space="preserve">•  Adequacy rating: MARGINAL at current levels; ADEQUATE at recommended level</w:t>
      </w:r>
    </w:p>
    <w:p>
      <w:pPr>
        <w:spacing w:after="60"/>
      </w:pPr>
    </w:p>
    <w:p>
      <w:pPr>
        <w:spacing w:after="120"/>
      </w:pPr>
      <w:r>
        <w:rPr>
          <w:rFonts w:ascii="Arial" w:cs="Arial" w:eastAsia="Arial" w:hAnsi="Arial"/>
          <w:sz w:val="21"/>
          <w:szCs w:val="21"/>
        </w:rPr>
        <w:t xml:space="preserve">The +$92M additional IBNR breaks down as: +$28M on FFEQ (applying 1.6x dev factor per Sarah’s recommendation), +$47M on BI (incorporating corrected production split data—Fremont is now 5,800 units/week, not 8,500), and +$17M on supply chain (moving from $18M to $35M IBNR per our 28 October discussion).</w:t>
      </w:r>
    </w:p>
    <w:p>
      <w:pPr>
        <w:spacing w:after="60"/>
      </w:pPr>
    </w:p>
    <w:p>
      <w:pPr>
        <w:spacing w:after="120"/>
      </w:pPr>
      <w:r>
        <w:rPr>
          <w:rFonts w:ascii="Arial" w:cs="Arial" w:eastAsia="Arial" w:hAnsi="Arial"/>
          <w:b/>
          <w:bCs/>
          <w:sz w:val="21"/>
          <w:szCs w:val="21"/>
        </w:rPr>
        <w:t xml:space="preserve">B. Autopilot product liability (EVT-2025-PL-004, Garcia v. Tesla):</w:t>
      </w:r>
    </w:p>
    <w:p>
      <w:pPr>
        <w:spacing w:after="120"/>
      </w:pPr>
      <w:r>
        <w:rPr>
          <w:rFonts w:ascii="Arial" w:cs="Arial" w:eastAsia="Arial" w:hAnsi="Arial"/>
          <w:sz w:val="21"/>
          <w:szCs w:val="21"/>
        </w:rPr>
        <w:t xml:space="preserve">•  Current reserve: $129.5M gross incurred</w:t>
      </w:r>
    </w:p>
    <w:p>
      <w:pPr>
        <w:spacing w:after="120"/>
      </w:pPr>
      <w:r>
        <w:rPr>
          <w:rFonts w:ascii="Arial" w:cs="Arial" w:eastAsia="Arial" w:hAnsi="Arial"/>
          <w:sz w:val="21"/>
          <w:szCs w:val="21"/>
        </w:rPr>
        <w:t xml:space="preserve">•  Recommended range: $129.5M (if class not certified) to $350M (if certified + adverse settlement)</w:t>
      </w:r>
    </w:p>
    <w:p>
      <w:pPr>
        <w:spacing w:after="120"/>
      </w:pPr>
      <w:r>
        <w:rPr>
          <w:rFonts w:ascii="Arial" w:cs="Arial" w:eastAsia="Arial" w:hAnsi="Arial"/>
          <w:sz w:val="21"/>
          <w:szCs w:val="21"/>
        </w:rPr>
        <w:t xml:space="preserve">•  Adequacy rating: DEFICIENT</w:t>
      </w:r>
    </w:p>
    <w:p>
      <w:pPr>
        <w:spacing w:after="60"/>
      </w:pPr>
    </w:p>
    <w:p>
      <w:pPr>
        <w:spacing w:after="120"/>
      </w:pPr>
      <w:r>
        <w:rPr>
          <w:rFonts w:ascii="Arial" w:cs="Arial" w:eastAsia="Arial" w:hAnsi="Arial"/>
          <w:sz w:val="21"/>
          <w:szCs w:val="21"/>
        </w:rPr>
        <w:t xml:space="preserve">I am not prepared to sign this line as “Adequate”. The lack of actuarial development data for autonomous vehicle liability, combined with the class certification hearing in January, means we are essentially holding a binary option with a potentially enormous downside. I recommend we book $200M as the base case (+$70.5M above current) and disclose the $350M adverse scenario to the committee.</w:t>
      </w:r>
    </w:p>
    <w:p>
      <w:pPr>
        <w:spacing w:after="60"/>
      </w:pPr>
    </w:p>
    <w:p>
      <w:pPr>
        <w:spacing w:after="120"/>
      </w:pPr>
      <w:r>
        <w:rPr>
          <w:rFonts w:ascii="Arial" w:cs="Arial" w:eastAsia="Arial" w:hAnsi="Arial"/>
          <w:b/>
          <w:bCs/>
          <w:sz w:val="21"/>
          <w:szCs w:val="21"/>
        </w:rPr>
        <w:t xml:space="preserve">C. All other Tesla perils (attritional):</w:t>
      </w:r>
    </w:p>
    <w:p>
      <w:pPr>
        <w:spacing w:after="120"/>
      </w:pPr>
      <w:r>
        <w:rPr>
          <w:rFonts w:ascii="Arial" w:cs="Arial" w:eastAsia="Arial" w:hAnsi="Arial"/>
          <w:sz w:val="21"/>
          <w:szCs w:val="21"/>
        </w:rPr>
        <w:t xml:space="preserve">•  Current reserve: $58M gross incurred</w:t>
      </w:r>
    </w:p>
    <w:p>
      <w:pPr>
        <w:spacing w:after="120"/>
      </w:pPr>
      <w:r>
        <w:rPr>
          <w:rFonts w:ascii="Arial" w:cs="Arial" w:eastAsia="Arial" w:hAnsi="Arial"/>
          <w:sz w:val="21"/>
          <w:szCs w:val="21"/>
        </w:rPr>
        <w:t xml:space="preserve">•  Recommended: no change — development patterns are tracking within expected ranges</w:t>
      </w:r>
    </w:p>
    <w:p>
      <w:pPr>
        <w:spacing w:after="120"/>
      </w:pPr>
      <w:r>
        <w:rPr>
          <w:rFonts w:ascii="Arial" w:cs="Arial" w:eastAsia="Arial" w:hAnsi="Arial"/>
          <w:sz w:val="21"/>
          <w:szCs w:val="21"/>
        </w:rPr>
        <w:t xml:space="preserve">•  Adequacy rating: ADEQUATE</w:t>
      </w:r>
    </w:p>
    <w:p>
      <w:pPr>
        <w:spacing w:after="60"/>
      </w:pPr>
    </w:p>
    <w:p>
      <w:pPr>
        <w:spacing w:after="120"/>
      </w:pPr>
      <w:r>
        <w:rPr>
          <w:rFonts w:ascii="Arial" w:cs="Arial" w:eastAsia="Arial" w:hAnsi="Arial"/>
          <w:b/>
          <w:bCs/>
          <w:color w:val="CC0000"/>
          <w:sz w:val="21"/>
          <w:szCs w:val="21"/>
        </w:rPr>
        <w:t xml:space="preserve">CAVEATS:</w:t>
      </w:r>
    </w:p>
    <w:p>
      <w:pPr>
        <w:spacing w:after="60"/>
      </w:pPr>
    </w:p>
    <w:p>
      <w:pPr>
        <w:spacing w:after="120"/>
      </w:pPr>
      <w:r>
        <w:rPr>
          <w:rFonts w:ascii="Arial" w:cs="Arial" w:eastAsia="Arial" w:hAnsi="Arial"/>
          <w:b/>
          <w:bCs/>
          <w:color w:val="CC0000"/>
          <w:sz w:val="21"/>
          <w:szCs w:val="21"/>
        </w:rPr>
        <w:t xml:space="preserve">Caveat 1: </w:t>
      </w:r>
      <w:r>
        <w:rPr>
          <w:rFonts w:ascii="Arial" w:cs="Arial" w:eastAsia="Arial" w:hAnsi="Arial"/>
          <w:color w:val="CC0000"/>
          <w:sz w:val="21"/>
          <w:szCs w:val="21"/>
        </w:rPr>
        <w:t xml:space="preserve">The EQ reserve recommendation is contingent on the structural engineer’s report (due mid-November). If the report identifies foundation damage or liquefaction effects, the BI duration and property damage estimates could increase materially. I will issue a reserve supplement if this occurs.</w:t>
      </w:r>
    </w:p>
    <w:p>
      <w:pPr>
        <w:spacing w:after="60"/>
      </w:pPr>
    </w:p>
    <w:p>
      <w:pPr>
        <w:spacing w:after="120"/>
      </w:pPr>
      <w:r>
        <w:rPr>
          <w:rFonts w:ascii="Arial" w:cs="Arial" w:eastAsia="Arial" w:hAnsi="Arial"/>
          <w:b/>
          <w:bCs/>
          <w:color w:val="CC0000"/>
          <w:sz w:val="21"/>
          <w:szCs w:val="21"/>
        </w:rPr>
        <w:t xml:space="preserve">Caveat 2: </w:t>
      </w:r>
      <w:r>
        <w:rPr>
          <w:rFonts w:ascii="Arial" w:cs="Arial" w:eastAsia="Arial" w:hAnsi="Arial"/>
          <w:color w:val="CC0000"/>
          <w:sz w:val="21"/>
          <w:szCs w:val="21"/>
        </w:rPr>
        <w:t xml:space="preserve">The autopilot PL reserve range is based on legal counsel’s estimate, not actuarial modelling. I have no credible loss development triangle for this exposure class. The committee should understand that the $200M base case is an informed judgment, not an actuarially derived figure. If the class is certified in January, I will recommend an immediate reserve strengthening to $300M+.</w:t>
      </w:r>
    </w:p>
    <w:p>
      <w:pPr>
        <w:spacing w:after="60"/>
      </w:pPr>
    </w:p>
    <w:p>
      <w:pPr>
        <w:spacing w:after="120"/>
      </w:pPr>
      <w:r>
        <w:rPr>
          <w:rFonts w:ascii="Arial" w:cs="Arial" w:eastAsia="Arial" w:hAnsi="Arial"/>
          <w:sz w:val="21"/>
          <w:szCs w:val="21"/>
        </w:rPr>
        <w:t xml:space="preserve">Total recommended Tesla gross incurred (all perils): $1.038B, up from $876M currently booked. Net of QS cession (~36% blended): $664M net incurred.</w:t>
      </w:r>
    </w:p>
    <w:p>
      <w:pPr>
        <w:spacing w:after="60"/>
      </w:pPr>
    </w:p>
    <w:p>
      <w:pPr>
        <w:spacing w:after="120"/>
      </w:pPr>
      <w:r>
        <w:rPr>
          <w:rFonts w:ascii="Arial" w:cs="Arial" w:eastAsia="Arial" w:hAnsi="Arial"/>
          <w:sz w:val="21"/>
          <w:szCs w:val="21"/>
        </w:rPr>
        <w:t xml:space="preserve">Happy to discuss before Tuesday’s meeting.</w:t>
      </w:r>
    </w:p>
    <w:p>
      <w:pPr>
        <w:spacing w:after="60"/>
      </w:pPr>
    </w:p>
    <w:p>
      <w:pPr>
        <w:spacing w:after="40"/>
      </w:pPr>
      <w:r>
        <w:rPr>
          <w:rFonts w:ascii="Arial" w:cs="Arial" w:eastAsia="Arial" w:hAnsi="Arial"/>
          <w:b/>
          <w:bCs/>
          <w:sz w:val="21"/>
          <w:szCs w:val="21"/>
        </w:rPr>
        <w:t xml:space="preserve">Marcus</w:t>
      </w:r>
    </w:p>
    <w:p>
      <w:pPr>
        <w:spacing w:after="200"/>
      </w:pPr>
      <w:r>
        <w:rPr>
          <w:rFonts w:ascii="Arial" w:cs="Arial" w:eastAsia="Arial" w:hAnsi="Arial"/>
          <w:i/>
          <w:iCs/>
          <w:color w:val="666666"/>
          <w:sz w:val="19"/>
          <w:szCs w:val="19"/>
        </w:rPr>
        <w:t xml:space="preserve">Chief Actuary — Reserving &amp; Pricing</w:t>
      </w:r>
    </w:p>
    <w:p>
      <w:pPr>
        <w:spacing w:after="60"/>
      </w:pPr>
    </w:p>
    <w:p>
      <w:pPr>
        <w:spacing w:after="120"/>
      </w:pPr>
      <w:r>
        <w:rPr>
          <w:rFonts w:ascii="Arial" w:cs="Arial" w:eastAsia="Arial" w:hAnsi="Arial"/>
          <w:color w:val="CCCCCC"/>
          <w:sz w:val="21"/>
          <w:szCs w:val="21"/>
        </w:rPr>
        <w:t xml:space="preserve">———</w:t>
      </w:r>
    </w:p>
    <w:p>
      <w:pPr>
        <w:spacing w:after="120"/>
      </w:pPr>
      <w:r>
        <w:rPr>
          <w:rFonts w:ascii="Arial" w:cs="Arial" w:eastAsia="Arial" w:hAnsi="Arial"/>
          <w:i/>
          <w:iCs/>
          <w:color w:val="999999"/>
          <w:sz w:val="21"/>
          <w:szCs w:val="21"/>
        </w:rPr>
        <w:t xml:space="preserve">This communication is internal and privileged. Do not forward outside Zurich Insurance Group without authorisation from Legal.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rFonts w:ascii="Arial" w:cs="Arial" w:eastAsia="Arial" w:hAnsi="Arial"/>
      <w:b/>
      <w:bCs/>
      <w:color w:val="375623"/>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2026-02-19T15:39:36.962Z</dcterms:created>
  <dcterms:modified xsi:type="dcterms:W3CDTF">2026-02-19T15:39:36.963Z</dcterms:modified>
</cp:coreProperties>
</file>

<file path=docProps/custom.xml><?xml version="1.0" encoding="utf-8"?>
<Properties xmlns="http://schemas.openxmlformats.org/officeDocument/2006/custom-properties" xmlns:vt="http://schemas.openxmlformats.org/officeDocument/2006/docPropsVTypes"/>
</file>