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4A1942"/>
          <w:sz w:val="36"/>
          <w:szCs w:val="36"/>
        </w:rPr>
        <w:t xml:space="preserve">INTERNAL CORRESPONDENCE</w:t>
      </w:r>
    </w:p>
    <w:p>
      <w:pPr>
        <w:spacing w:after="80"/>
      </w:pPr>
      <w:r>
        <w:rPr>
          <w:rFonts w:ascii="Arial" w:cs="Arial" w:eastAsia="Arial" w:hAnsi="Arial"/>
          <w:color w:val="4A1942"/>
          <w:sz w:val="28"/>
          <w:szCs w:val="28"/>
        </w:rPr>
        <w:t xml:space="preserve">Nestlé S.A. — BU3 Consumer &amp; Agri Lines</w:t>
      </w:r>
    </w:p>
    <w:p>
      <w:pPr>
        <w:spacing w:after="80"/>
      </w:pPr>
      <w:r>
        <w:rPr>
          <w:rFonts w:ascii="Arial" w:cs="Arial" w:eastAsia="Arial" w:hAnsi="Arial"/>
          <w:color w:val="888888"/>
          <w:sz w:val="22"/>
          <w:szCs w:val="22"/>
        </w:rPr>
        <w:t xml:space="preserve">Treaty: HR-CON-2025-NEST-QS  |  Reinsurer: Hannover Re</w:t>
      </w:r>
    </w:p>
    <w:p>
      <w:pPr>
        <w:spacing w:after="300"/>
      </w:pPr>
      <w:r>
        <w:rPr>
          <w:rFonts w:ascii="Arial" w:cs="Arial" w:eastAsia="Arial" w:hAnsi="Arial"/>
          <w:color w:val="888888"/>
          <w:sz w:val="22"/>
          <w:szCs w:val="22"/>
        </w:rPr>
        <w:t xml:space="preserve">Email thread — Underwriting, Actuarial, Product Recall &amp; Agriculture  |  August–December 2025</w:t>
      </w:r>
    </w:p>
    <w:p>
      <w:pPr>
        <w:spacing w:after="120"/>
      </w:pPr>
      <w:r>
        <w:rPr>
          <w:rFonts w:ascii="Arial" w:cs="Arial" w:eastAsia="Arial" w:hAnsi="Arial"/>
          <w:b/>
          <w:bCs/>
          <w:color w:val="4A1942"/>
          <w:sz w:val="21"/>
          <w:szCs w:val="21"/>
        </w:rPr>
        <w:t xml:space="preserve">DISTRIBUTION</w:t>
      </w:r>
    </w:p>
    <w:p>
      <w:pPr>
        <w:spacing w:after="120"/>
      </w:pPr>
      <w:r>
        <w:rPr>
          <w:rFonts w:ascii="Arial" w:cs="Arial" w:eastAsia="Arial" w:hAnsi="Arial"/>
          <w:sz w:val="21"/>
          <w:szCs w:val="21"/>
        </w:rPr>
        <w:t xml:space="preserve">Claudia Ferretti — Senior Underwriter, Consumer &amp; Agri Lines (BU3)</w:t>
      </w:r>
    </w:p>
    <w:p>
      <w:pPr>
        <w:spacing w:after="120"/>
      </w:pPr>
      <w:r>
        <w:rPr>
          <w:rFonts w:ascii="Arial" w:cs="Arial" w:eastAsia="Arial" w:hAnsi="Arial"/>
          <w:sz w:val="21"/>
          <w:szCs w:val="21"/>
        </w:rPr>
        <w:t xml:space="preserve">Dr. Henrik Olsen — Actuarial Lead, Long-Tail Reserving</w:t>
      </w:r>
    </w:p>
    <w:p>
      <w:pPr>
        <w:spacing w:after="120"/>
      </w:pPr>
      <w:r>
        <w:rPr>
          <w:rFonts w:ascii="Arial" w:cs="Arial" w:eastAsia="Arial" w:hAnsi="Arial"/>
          <w:sz w:val="21"/>
          <w:szCs w:val="21"/>
        </w:rPr>
        <w:t xml:space="preserve">Amara Diallo — Agricultural &amp; Parametric Risk Specialist</w:t>
      </w:r>
    </w:p>
    <w:p>
      <w:pPr>
        <w:spacing w:after="120"/>
      </w:pPr>
      <w:r>
        <w:rPr>
          <w:rFonts w:ascii="Arial" w:cs="Arial" w:eastAsia="Arial" w:hAnsi="Arial"/>
          <w:sz w:val="21"/>
          <w:szCs w:val="21"/>
        </w:rPr>
        <w:t xml:space="preserve">Philippe Durand — Head of Claims, BU3</w:t>
      </w:r>
    </w:p>
    <w:p>
      <w:pPr>
        <w:spacing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Philippe Durand &lt;p.durand@zurich-re.internal&gt;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Claudia Ferretti &lt;c.ferretti@zurich-re.internal&gt;; Dr. Henrik Olsen &lt;h.olsen@zurich-re.internal&gt;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16 October 2025, 09:55</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Nestlé KitKat contamination — 3 PL cases + voluntary recall triggered — RESERVE ALERT</w:t>
            </w:r>
          </w:p>
        </w:tc>
      </w:tr>
    </w:tbl>
    <w:p>
      <w:pPr>
        <w:spacing w:after="60"/>
      </w:pPr>
    </w:p>
    <w:p>
      <w:pPr>
        <w:spacing w:after="120"/>
      </w:pPr>
      <w:r>
        <w:rPr>
          <w:rFonts w:ascii="Arial" w:cs="Arial" w:eastAsia="Arial" w:hAnsi="Arial"/>
          <w:sz w:val="21"/>
          <w:szCs w:val="21"/>
        </w:rPr>
        <w:t xml:space="preserve">Claudia, Henrik,</w:t>
      </w:r>
    </w:p>
    <w:p>
      <w:pPr>
        <w:spacing w:after="60"/>
      </w:pPr>
    </w:p>
    <w:p>
      <w:pPr>
        <w:spacing w:after="120"/>
      </w:pPr>
      <w:r>
        <w:rPr>
          <w:rFonts w:ascii="Arial" w:cs="Arial" w:eastAsia="Arial" w:hAnsi="Arial"/>
          <w:sz w:val="21"/>
          <w:szCs w:val="21"/>
        </w:rPr>
        <w:t xml:space="preserve">The contamination cluster I flagged last week has escalated faster than expected. Here’s the current picture.</w:t>
      </w:r>
    </w:p>
    <w:p>
      <w:pPr>
        <w:spacing w:after="60"/>
      </w:pPr>
    </w:p>
    <w:p>
      <w:pPr>
        <w:spacing w:after="120"/>
      </w:pPr>
      <w:r>
        <w:rPr>
          <w:rFonts w:ascii="Arial" w:cs="Arial" w:eastAsia="Arial" w:hAnsi="Arial"/>
          <w:b/>
          <w:bCs/>
          <w:sz w:val="21"/>
          <w:szCs w:val="21"/>
        </w:rPr>
        <w:t xml:space="preserve">The chain of events: </w:t>
      </w:r>
      <w:r>
        <w:rPr>
          <w:rFonts w:ascii="Arial" w:cs="Arial" w:eastAsia="Arial" w:hAnsi="Arial"/>
          <w:sz w:val="21"/>
          <w:szCs w:val="21"/>
        </w:rPr>
        <w:t xml:space="preserve">On 5 October, a consumer in Hamburg reported finding a glass fragment in a KitKat bar (case NE-CL-2025-0201). The fragment caused a lacerated tongue requiring outpatient treatment. Within 6 days, two further cases emerged—both in Germany, both from the same production batch (KK-2025-DE-44xx). The third consumer had a dental injury. Nestlé identified the root cause as a cracked sight glass on a tempering machine at the York confectionery factory. On 15 October, they initiated a voluntary recall of 2.8 million KitKat units across the DACH region.</w:t>
      </w:r>
    </w:p>
    <w:p>
      <w:pPr>
        <w:spacing w:after="60"/>
      </w:pPr>
    </w:p>
    <w:p>
      <w:pPr>
        <w:spacing w:after="120"/>
      </w:pPr>
      <w:r>
        <w:rPr>
          <w:rFonts w:ascii="Arial" w:cs="Arial" w:eastAsia="Arial" w:hAnsi="Arial"/>
          <w:b/>
          <w:bCs/>
          <w:sz w:val="21"/>
          <w:szCs w:val="21"/>
        </w:rPr>
        <w:t xml:space="preserve">The reserving challenge: </w:t>
      </w:r>
      <w:r>
        <w:rPr>
          <w:rFonts w:ascii="Arial" w:cs="Arial" w:eastAsia="Arial" w:hAnsi="Arial"/>
          <w:sz w:val="21"/>
          <w:szCs w:val="21"/>
        </w:rPr>
        <w:t xml:space="preserve">This event spans THREE separate coverage lines in our treaty and they interact in ways that make independent reserving dangerous:</w:t>
      </w:r>
    </w:p>
    <w:p>
      <w:pPr>
        <w:spacing w:after="60"/>
      </w:pPr>
    </w:p>
    <w:p>
      <w:pPr>
        <w:spacing w:after="120"/>
      </w:pPr>
      <w:r>
        <w:rPr>
          <w:rFonts w:ascii="Arial" w:cs="Arial" w:eastAsia="Arial" w:hAnsi="Arial"/>
          <w:sz w:val="21"/>
          <w:szCs w:val="21"/>
        </w:rPr>
        <w:t xml:space="preserve">•  Product Liability (PL-FD): 3 individual consumer claims. Current reserves total CHF 260K across the three cases. These are small individually, but Kennedys EU (handling the litigation) advises that the claimants are being represented by the same plaintiff firm and may seek to aggregate under German product liability law. If aggregated, the potential damages increase significantly—German courts have awarded up to €200K per claimant in food contamination cases with physical injury.</w:t>
      </w:r>
    </w:p>
    <w:p>
      <w:pPr>
        <w:spacing w:after="120"/>
      </w:pPr>
      <w:r>
        <w:rPr>
          <w:rFonts w:ascii="Arial" w:cs="Arial" w:eastAsia="Arial" w:hAnsi="Arial"/>
          <w:sz w:val="21"/>
          <w:szCs w:val="21"/>
        </w:rPr>
        <w:t xml:space="preserve">•  Product Contamination (CONTAM): The investigation and remediation costs at the York factory—production line shutdown, decontamination, equipment replacement, independent laboratory testing. Not yet claimed but Nestlé’s QC team estimates CHF 2–3M.</w:t>
      </w:r>
    </w:p>
    <w:p>
      <w:pPr>
        <w:spacing w:after="120"/>
      </w:pPr>
      <w:r>
        <w:rPr>
          <w:rFonts w:ascii="Arial" w:cs="Arial" w:eastAsia="Arial" w:hAnsi="Arial"/>
          <w:sz w:val="21"/>
          <w:szCs w:val="21"/>
        </w:rPr>
        <w:t xml:space="preserve">•  Product Recall (RECALL): The voluntary recall itself—logistics, retail retrieval, consumer notification, media response, brand remediation. Crisis24 (the recall coordinator) has provided an initial estimate of CHF 18.5M paid with CHF 8M outstanding. This is the single largest cost component.</w:t>
      </w:r>
    </w:p>
    <w:p>
      <w:pPr>
        <w:spacing w:after="60"/>
      </w:pPr>
    </w:p>
    <w:p>
      <w:pPr>
        <w:spacing w:after="120"/>
      </w:pPr>
      <w:r>
        <w:rPr>
          <w:rFonts w:ascii="Arial" w:cs="Arial" w:eastAsia="Arial" w:hAnsi="Arial"/>
          <w:b/>
          <w:bCs/>
          <w:sz w:val="21"/>
          <w:szCs w:val="21"/>
        </w:rPr>
        <w:t xml:space="preserve">The interaction problem: </w:t>
      </w:r>
      <w:r>
        <w:rPr>
          <w:rFonts w:ascii="Arial" w:cs="Arial" w:eastAsia="Arial" w:hAnsi="Arial"/>
          <w:sz w:val="21"/>
          <w:szCs w:val="21"/>
        </w:rPr>
        <w:t xml:space="preserve">Our treaty has a “single occurrence” definition that ties all losses arising from “one originating cause” to one event. But the BDX is recording these as 4 separate case numbers (3 PL + 1 recall) under 2 different LOB codes (CONTAM and RECALL). If the treaty aggregates them, they share a single occurrence limit of CHF 50M—adequate. If they’re treated as separate occurrences, each has its own deductible of CHF 500K, which changes the ceded position by CHF 1.5M. I need a view from Legal on how the treaty wording applies here.</w:t>
      </w:r>
    </w:p>
    <w:p>
      <w:pPr>
        <w:spacing w:after="60"/>
      </w:pPr>
    </w:p>
    <w:p>
      <w:pPr>
        <w:spacing w:after="120"/>
      </w:pPr>
      <w:r>
        <w:rPr>
          <w:rFonts w:ascii="Arial" w:cs="Arial" w:eastAsia="Arial" w:hAnsi="Arial"/>
          <w:sz w:val="21"/>
          <w:szCs w:val="21"/>
        </w:rPr>
        <w:t xml:space="preserve">Henrik—can you model both scenarios (aggregated vs. disaggregated) for the reserve committee? I also want to flag that 2.8 million recalled units is Nestlé’s initial scope. If the sight glass defect was intermittent, there may be additional batches from York that need to be recalled. The BDX note says the machine was serviced in February 2025, so the exposure window could extend back 8 months.</w:t>
      </w:r>
    </w:p>
    <w:p>
      <w:pPr>
        <w:spacing w:after="60"/>
      </w:pPr>
    </w:p>
    <w:p>
      <w:pPr>
        <w:spacing w:after="40"/>
      </w:pPr>
      <w:r>
        <w:rPr>
          <w:rFonts w:ascii="Arial" w:cs="Arial" w:eastAsia="Arial" w:hAnsi="Arial"/>
          <w:b/>
          <w:bCs/>
          <w:sz w:val="21"/>
          <w:szCs w:val="21"/>
        </w:rPr>
        <w:t xml:space="preserve">Philippe</w:t>
      </w:r>
    </w:p>
    <w:p>
      <w:pPr>
        <w:spacing w:after="200"/>
      </w:pPr>
      <w:r>
        <w:rPr>
          <w:rFonts w:ascii="Arial" w:cs="Arial" w:eastAsia="Arial" w:hAnsi="Arial"/>
          <w:i/>
          <w:iCs/>
          <w:color w:val="666666"/>
          <w:sz w:val="19"/>
          <w:szCs w:val="19"/>
        </w:rPr>
        <w:t xml:space="preserve">Head of Claims — BU3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Claudia Ferretti &lt;c.ferretti@zurich-re.internal&gt;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Henrik Olsen &lt;h.olsen@zurich-re.internal&gt;; Amara Diallo &lt;a.diallo@zurich-re.internal&gt;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20 October 2025, 11:40</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Nestlé Pakistan flood claims — climate change loading discussion for renewal</w:t>
            </w:r>
          </w:p>
        </w:tc>
      </w:tr>
    </w:tbl>
    <w:p>
      <w:pPr>
        <w:spacing w:after="60"/>
      </w:pPr>
    </w:p>
    <w:p>
      <w:pPr>
        <w:spacing w:after="120"/>
      </w:pPr>
      <w:r>
        <w:rPr>
          <w:rFonts w:ascii="Arial" w:cs="Arial" w:eastAsia="Arial" w:hAnsi="Arial"/>
          <w:sz w:val="21"/>
          <w:szCs w:val="21"/>
        </w:rPr>
        <w:t xml:space="preserve">Henrik, Amara,</w:t>
      </w:r>
    </w:p>
    <w:p>
      <w:pPr>
        <w:spacing w:after="60"/>
      </w:pPr>
    </w:p>
    <w:p>
      <w:pPr>
        <w:spacing w:after="120"/>
      </w:pPr>
      <w:r>
        <w:rPr>
          <w:rFonts w:ascii="Arial" w:cs="Arial" w:eastAsia="Arial" w:hAnsi="Arial"/>
          <w:sz w:val="21"/>
          <w:szCs w:val="21"/>
        </w:rPr>
        <w:t xml:space="preserve">The Pakistan monsoon flood claims (NE-CL-2025-0101 through 0103) are developing and I want to use them as a data point for the renewal pricing discussion on climate-adjusted flood rates.</w:t>
      </w:r>
    </w:p>
    <w:p>
      <w:pPr>
        <w:spacing w:after="60"/>
      </w:pPr>
    </w:p>
    <w:p>
      <w:pPr>
        <w:spacing w:after="120"/>
      </w:pPr>
      <w:r>
        <w:rPr>
          <w:rFonts w:ascii="Arial" w:cs="Arial" w:eastAsia="Arial" w:hAnsi="Arial"/>
          <w:b/>
          <w:bCs/>
          <w:sz w:val="21"/>
          <w:szCs w:val="21"/>
        </w:rPr>
        <w:t xml:space="preserve">Current position: </w:t>
      </w:r>
      <w:r>
        <w:rPr>
          <w:rFonts w:ascii="Arial" w:cs="Arial" w:eastAsia="Arial" w:hAnsi="Arial"/>
          <w:sz w:val="21"/>
          <w:szCs w:val="21"/>
        </w:rPr>
        <w:t xml:space="preserve">Three claims totalling $44.5M gross incurred ($25.9M paid + $16.8M O/S + $1.75M fees) across property damage at Kabirwala, water treatment at Sheikhupura, and BI from the Kabirwala dairy shutdown. The BI component is the largest driver—the plant was offline for 6 weeks and has only just resumed partial production. Cunningham Lindsey’s latest estimate adds $4M to the BI reserve for the slow ramp-up period (they’re running at 60% capacity as of last week).</w:t>
      </w:r>
    </w:p>
    <w:p>
      <w:pPr>
        <w:spacing w:after="60"/>
      </w:pPr>
    </w:p>
    <w:p>
      <w:pPr>
        <w:spacing w:after="120"/>
      </w:pPr>
      <w:r>
        <w:rPr>
          <w:rFonts w:ascii="Arial" w:cs="Arial" w:eastAsia="Arial" w:hAnsi="Arial"/>
          <w:b/>
          <w:bCs/>
          <w:sz w:val="21"/>
          <w:szCs w:val="21"/>
        </w:rPr>
        <w:t xml:space="preserve">The climate question: </w:t>
      </w:r>
      <w:r>
        <w:rPr>
          <w:rFonts w:ascii="Arial" w:cs="Arial" w:eastAsia="Arial" w:hAnsi="Arial"/>
          <w:sz w:val="21"/>
          <w:szCs w:val="21"/>
        </w:rPr>
        <w:t xml:space="preserve">The SOV flags Kabirwala as “High — Chenab” flood zone. The current rating includes a CAT surcharge of 18% (combined flood + wind) and a 5% climate change uplift. But looking at the actual loss history:</w:t>
      </w:r>
    </w:p>
    <w:p>
      <w:pPr>
        <w:spacing w:after="60"/>
      </w:pPr>
    </w:p>
    <w:p>
      <w:pPr>
        <w:spacing w:after="120"/>
      </w:pPr>
      <w:r>
        <w:rPr>
          <w:rFonts w:ascii="Arial" w:cs="Arial" w:eastAsia="Arial" w:hAnsi="Arial"/>
          <w:sz w:val="21"/>
          <w:szCs w:val="21"/>
        </w:rPr>
        <w:t xml:space="preserve">•  2022: Pakistan super-floods — Kabirwala factory flooded (our claim was $18M ultimate)</w:t>
      </w:r>
    </w:p>
    <w:p>
      <w:pPr>
        <w:spacing w:after="120"/>
      </w:pPr>
      <w:r>
        <w:rPr>
          <w:rFonts w:ascii="Arial" w:cs="Arial" w:eastAsia="Arial" w:hAnsi="Arial"/>
          <w:sz w:val="21"/>
          <w:szCs w:val="21"/>
        </w:rPr>
        <w:t xml:space="preserve">•  2023: No flooding — La Niña dry phase</w:t>
      </w:r>
    </w:p>
    <w:p>
      <w:pPr>
        <w:spacing w:after="120"/>
      </w:pPr>
      <w:r>
        <w:rPr>
          <w:rFonts w:ascii="Arial" w:cs="Arial" w:eastAsia="Arial" w:hAnsi="Arial"/>
          <w:sz w:val="21"/>
          <w:szCs w:val="21"/>
        </w:rPr>
        <w:t xml:space="preserve">•  2024: Minor flooding — water ingress to loading dock only ($800K)</w:t>
      </w:r>
    </w:p>
    <w:p>
      <w:pPr>
        <w:spacing w:after="120"/>
      </w:pPr>
      <w:r>
        <w:rPr>
          <w:rFonts w:ascii="Arial" w:cs="Arial" w:eastAsia="Arial" w:hAnsi="Arial"/>
          <w:sz w:val="21"/>
          <w:szCs w:val="21"/>
        </w:rPr>
        <w:t xml:space="preserve">•  2025: Monsoon flooding — 1.2m submersion, full plant shutdown ($44.5M and counting)</w:t>
      </w:r>
    </w:p>
    <w:p>
      <w:pPr>
        <w:spacing w:after="60"/>
      </w:pPr>
    </w:p>
    <w:p>
      <w:pPr>
        <w:spacing w:after="120"/>
      </w:pPr>
      <w:r>
        <w:rPr>
          <w:rFonts w:ascii="Arial" w:cs="Arial" w:eastAsia="Arial" w:hAnsi="Arial"/>
          <w:sz w:val="21"/>
          <w:szCs w:val="21"/>
        </w:rPr>
        <w:t xml:space="preserve">In 4 years, we’ve had 2 major floods at the same site. The historical return period for Chenab basin flooding at this severity was 1-in-25 years based on pre-2015 data. Post-2015, the observed frequency is closer to 1-in-3. If we price on historical return periods, we’re systematically under-charging for flood risk in South Asian river basins.</w:t>
      </w:r>
    </w:p>
    <w:p>
      <w:pPr>
        <w:spacing w:after="60"/>
      </w:pPr>
    </w:p>
    <w:p>
      <w:pPr>
        <w:spacing w:after="120"/>
      </w:pPr>
      <w:r>
        <w:rPr>
          <w:rFonts w:ascii="Arial" w:cs="Arial" w:eastAsia="Arial" w:hAnsi="Arial"/>
          <w:b/>
          <w:bCs/>
          <w:sz w:val="21"/>
          <w:szCs w:val="21"/>
        </w:rPr>
        <w:t xml:space="preserve">Amara—</w:t>
      </w:r>
      <w:r>
        <w:rPr>
          <w:rFonts w:ascii="Arial" w:cs="Arial" w:eastAsia="Arial" w:hAnsi="Arial"/>
          <w:sz w:val="21"/>
          <w:szCs w:val="21"/>
        </w:rPr>
        <w:t xml:space="preserve">can you pull the latest IPCC AR6 Chapter 11 data on projected monsoon intensity changes for the Indus/Chenab basin? I want to quantify what the climate-adjusted return period should be and whether our 5% uplift is anywhere near adequate. My instinct is that it should be 20–30% for South Asian riverine flood, but I want the science behind it.</w:t>
      </w:r>
    </w:p>
    <w:p>
      <w:pPr>
        <w:spacing w:after="60"/>
      </w:pPr>
    </w:p>
    <w:p>
      <w:pPr>
        <w:spacing w:after="120"/>
      </w:pPr>
      <w:r>
        <w:rPr>
          <w:rFonts w:ascii="Arial" w:cs="Arial" w:eastAsia="Arial" w:hAnsi="Arial"/>
          <w:b/>
          <w:bCs/>
          <w:sz w:val="21"/>
          <w:szCs w:val="21"/>
        </w:rPr>
        <w:t xml:space="preserve">Henrik—</w:t>
      </w:r>
      <w:r>
        <w:rPr>
          <w:rFonts w:ascii="Arial" w:cs="Arial" w:eastAsia="Arial" w:hAnsi="Arial"/>
          <w:sz w:val="21"/>
          <w:szCs w:val="21"/>
        </w:rPr>
        <w:t xml:space="preserve">for the reserve side, please note that the BDX records these in USD but Nestlé’s actual costs at Kabirwala are in Pakistani Rupees. The PKR has depreciated ~12% against USD since September. If Cunningham Lindsey set the reserve in PKR and we’re converting at today’s spot rate, the USD reserve may look artificially low. Can you check whether the reserve was set in original currency or converted? This is a recurring issue with BU3’s multi-currency book.</w:t>
      </w:r>
    </w:p>
    <w:p>
      <w:pPr>
        <w:spacing w:after="60"/>
      </w:pPr>
    </w:p>
    <w:p>
      <w:pPr>
        <w:spacing w:after="40"/>
      </w:pPr>
      <w:r>
        <w:rPr>
          <w:rFonts w:ascii="Arial" w:cs="Arial" w:eastAsia="Arial" w:hAnsi="Arial"/>
          <w:b/>
          <w:bCs/>
          <w:sz w:val="21"/>
          <w:szCs w:val="21"/>
        </w:rPr>
        <w:t xml:space="preserve">Claudia</w:t>
      </w:r>
    </w:p>
    <w:p>
      <w:pPr>
        <w:spacing w:after="200"/>
      </w:pPr>
      <w:r>
        <w:rPr>
          <w:rFonts w:ascii="Arial" w:cs="Arial" w:eastAsia="Arial" w:hAnsi="Arial"/>
          <w:i/>
          <w:iCs/>
          <w:color w:val="666666"/>
          <w:sz w:val="19"/>
          <w:szCs w:val="19"/>
        </w:rPr>
        <w:t xml:space="preserve">Senior Underwriter — Consumer &amp; Agri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Amara Diallo &lt;a.diallo@zurich-re.internal&gt;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Claudia Ferretti &lt;c.ferretti@zurich-re.internal&gt;; Dr. Henrik Olsen &lt;h.olsen@zurich-re.internal&gt;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24 October 2025, 15:22</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Cocoa parametric claim (NE-CL-2025-0601) — index trigger validation problem</w:t>
            </w:r>
          </w:p>
        </w:tc>
      </w:tr>
    </w:tbl>
    <w:p>
      <w:pPr>
        <w:spacing w:after="60"/>
      </w:pPr>
    </w:p>
    <w:p>
      <w:pPr>
        <w:spacing w:after="120"/>
      </w:pPr>
      <w:r>
        <w:rPr>
          <w:rFonts w:ascii="Arial" w:cs="Arial" w:eastAsia="Arial" w:hAnsi="Arial"/>
          <w:sz w:val="21"/>
          <w:szCs w:val="21"/>
        </w:rPr>
        <w:t xml:space="preserve">Claudia, Henrik,</w:t>
      </w:r>
    </w:p>
    <w:p>
      <w:pPr>
        <w:spacing w:after="60"/>
      </w:pPr>
    </w:p>
    <w:p>
      <w:pPr>
        <w:spacing w:after="120"/>
      </w:pPr>
      <w:r>
        <w:rPr>
          <w:rFonts w:ascii="Arial" w:cs="Arial" w:eastAsia="Arial" w:hAnsi="Arial"/>
          <w:sz w:val="21"/>
          <w:szCs w:val="21"/>
        </w:rPr>
        <w:t xml:space="preserve">I’ve been validating the parametric cocoa claim and we have a problem with the trigger definition.</w:t>
      </w:r>
    </w:p>
    <w:p>
      <w:pPr>
        <w:spacing w:after="60"/>
      </w:pPr>
    </w:p>
    <w:p>
      <w:pPr>
        <w:spacing w:after="120"/>
      </w:pPr>
      <w:r>
        <w:rPr>
          <w:rFonts w:ascii="Arial" w:cs="Arial" w:eastAsia="Arial" w:hAnsi="Arial"/>
          <w:b/>
          <w:bCs/>
          <w:sz w:val="21"/>
          <w:szCs w:val="21"/>
        </w:rPr>
        <w:t xml:space="preserve">Background: </w:t>
      </w:r>
      <w:r>
        <w:rPr>
          <w:rFonts w:ascii="Arial" w:cs="Arial" w:eastAsia="Arial" w:hAnsi="Arial"/>
          <w:sz w:val="21"/>
          <w:szCs w:val="21"/>
        </w:rPr>
        <w:t xml:space="preserve">The parametric policy for agricultural commodity risk uses a rainfall deficit index as the trigger. If cumulative rainfall at the reference weather station (Abidjan-Félix Houphouët-Boigny) falls below 75% of the 30-year average during the March–August growing season, the policy pays out on a sliding scale. Swiss Re Corporate Solutions (who structured the parametric product) confirmed the index triggered at 68% of average, generating a CHF 22M payout to Nestlé plus CHF 1.5M in fees.</w:t>
      </w:r>
    </w:p>
    <w:p>
      <w:pPr>
        <w:spacing w:after="60"/>
      </w:pPr>
    </w:p>
    <w:p>
      <w:pPr>
        <w:spacing w:after="120"/>
      </w:pPr>
      <w:r>
        <w:rPr>
          <w:rFonts w:ascii="Arial" w:cs="Arial" w:eastAsia="Arial" w:hAnsi="Arial"/>
          <w:b/>
          <w:bCs/>
          <w:sz w:val="21"/>
          <w:szCs w:val="21"/>
        </w:rPr>
        <w:t xml:space="preserve">The problem: basis risk. </w:t>
      </w:r>
      <w:r>
        <w:rPr>
          <w:rFonts w:ascii="Arial" w:cs="Arial" w:eastAsia="Arial" w:hAnsi="Arial"/>
          <w:sz w:val="21"/>
          <w:szCs w:val="21"/>
        </w:rPr>
        <w:t xml:space="preserve">The reference weather station is in Abidjan, on the coast. Nestlé’s cocoa sourcing is concentrated in the Haut-Sassandra and Lacs regions, 300–400km inland. I’ve pulled satellite precipitation data (CHIRPS dataset) for the actual growing regions and the picture is different from the coastal station:</w:t>
      </w:r>
    </w:p>
    <w:p>
      <w:pPr>
        <w:spacing w:after="60"/>
      </w:pPr>
    </w:p>
    <w:p>
      <w:pPr>
        <w:spacing w:after="120"/>
      </w:pPr>
      <w:r>
        <w:rPr>
          <w:rFonts w:ascii="Arial" w:cs="Arial" w:eastAsia="Arial" w:hAnsi="Arial"/>
          <w:sz w:val="21"/>
          <w:szCs w:val="21"/>
        </w:rPr>
        <w:t xml:space="preserve">•  Abidjan station: 68% of 30-year average (TRIGGER MET)</w:t>
      </w:r>
    </w:p>
    <w:p>
      <w:pPr>
        <w:spacing w:after="120"/>
      </w:pPr>
      <w:r>
        <w:rPr>
          <w:rFonts w:ascii="Arial" w:cs="Arial" w:eastAsia="Arial" w:hAnsi="Arial"/>
          <w:sz w:val="21"/>
          <w:szCs w:val="21"/>
        </w:rPr>
        <w:t xml:space="preserve">•  Daloa (Haut-Sassandra): 82% of 30-year average (would NOT trigger)</w:t>
      </w:r>
    </w:p>
    <w:p>
      <w:pPr>
        <w:spacing w:after="120"/>
      </w:pPr>
      <w:r>
        <w:rPr>
          <w:rFonts w:ascii="Arial" w:cs="Arial" w:eastAsia="Arial" w:hAnsi="Arial"/>
          <w:sz w:val="21"/>
          <w:szCs w:val="21"/>
        </w:rPr>
        <w:t xml:space="preserve">•  Yamoussoukro (Lacs): 71% of 30-year average (would trigger, but barely)</w:t>
      </w:r>
    </w:p>
    <w:p>
      <w:pPr>
        <w:spacing w:after="60"/>
      </w:pPr>
    </w:p>
    <w:p>
      <w:pPr>
        <w:spacing w:after="120"/>
      </w:pPr>
      <w:r>
        <w:rPr>
          <w:rFonts w:ascii="Arial" w:cs="Arial" w:eastAsia="Arial" w:hAnsi="Arial"/>
          <w:b/>
          <w:bCs/>
          <w:sz w:val="21"/>
          <w:szCs w:val="21"/>
        </w:rPr>
        <w:t xml:space="preserve">In other words, the actual drought severity in Nestlé’s sourcing regions was materially less severe than the index station suggests. </w:t>
      </w:r>
      <w:r>
        <w:rPr>
          <w:rFonts w:ascii="Arial" w:cs="Arial" w:eastAsia="Arial" w:hAnsi="Arial"/>
          <w:sz w:val="21"/>
          <w:szCs w:val="21"/>
        </w:rPr>
        <w:t xml:space="preserve">This is classic basis risk in parametric products—the index triggers but the actual loss is smaller than the payout implies. From a reserving perspective, the CHF 22M is a valid claim (the trigger was met, full stop), but from an underwriting perspective, Nestlé is being overcompensated relative to their actual crop shortfall.</w:t>
      </w:r>
    </w:p>
    <w:p>
      <w:pPr>
        <w:spacing w:after="60"/>
      </w:pPr>
    </w:p>
    <w:p>
      <w:pPr>
        <w:spacing w:after="120"/>
      </w:pPr>
      <w:r>
        <w:rPr>
          <w:rFonts w:ascii="Arial" w:cs="Arial" w:eastAsia="Arial" w:hAnsi="Arial"/>
          <w:b/>
          <w:bCs/>
          <w:sz w:val="21"/>
          <w:szCs w:val="21"/>
        </w:rPr>
        <w:t xml:space="preserve">For the renewal, I have three recommendations:</w:t>
      </w:r>
    </w:p>
    <w:p>
      <w:pPr>
        <w:spacing w:after="60"/>
      </w:pPr>
    </w:p>
    <w:p>
      <w:pPr>
        <w:spacing w:after="120"/>
      </w:pPr>
      <w:r>
        <w:rPr>
          <w:rFonts w:ascii="Arial" w:cs="Arial" w:eastAsia="Arial" w:hAnsi="Arial"/>
          <w:sz w:val="21"/>
          <w:szCs w:val="21"/>
        </w:rPr>
        <w:t xml:space="preserve">•  Switch the reference station from Abidjan to a composite index of 3 inland stations (Daloa, Bouaké, Yamoussoukro) that better represent the actual growing regions. This would reduce basis risk and probably lower the premium by 10–15% (fewer false triggers).</w:t>
      </w:r>
    </w:p>
    <w:p>
      <w:pPr>
        <w:spacing w:after="120"/>
      </w:pPr>
      <w:r>
        <w:rPr>
          <w:rFonts w:ascii="Arial" w:cs="Arial" w:eastAsia="Arial" w:hAnsi="Arial"/>
          <w:sz w:val="21"/>
          <w:szCs w:val="21"/>
        </w:rPr>
        <w:t xml:space="preserve">•  Move from a single rainfall trigger to a multi-peril index incorporating temperature and soil moisture (NDVI satellite data). El Niño-driven drought affects temperature and soil as much as rainfall, and a multi-variable trigger is more robust.</w:t>
      </w:r>
    </w:p>
    <w:p>
      <w:pPr>
        <w:spacing w:after="120"/>
      </w:pPr>
      <w:r>
        <w:rPr>
          <w:rFonts w:ascii="Arial" w:cs="Arial" w:eastAsia="Arial" w:hAnsi="Arial"/>
          <w:sz w:val="21"/>
          <w:szCs w:val="21"/>
        </w:rPr>
        <w:t xml:space="preserve">•  Reduce the payout factor at the 68–75% band and increase it at the 50–68% band (severe drought). The current linear payout overcompensates moderate shortfalls and undercompensates catastrophic ones.</w:t>
      </w:r>
    </w:p>
    <w:p>
      <w:pPr>
        <w:spacing w:after="60"/>
      </w:pPr>
    </w:p>
    <w:p>
      <w:pPr>
        <w:spacing w:after="120"/>
      </w:pPr>
      <w:r>
        <w:rPr>
          <w:rFonts w:ascii="Arial" w:cs="Arial" w:eastAsia="Arial" w:hAnsi="Arial"/>
          <w:sz w:val="21"/>
          <w:szCs w:val="21"/>
        </w:rPr>
        <w:t xml:space="preserve">On Claudia’s question about IPCC data for the Pakistan floods: I’ll have the analysis ready by Friday. Short answer—the AR6 projections show a 15–25% increase in extreme monsoon rainfall for the Indus basin by 2040 under SSP2-4.5. A 5% climate uplift is clearly inadequate. I’d support 20–25% for the Nestlé South Asian sites.</w:t>
      </w:r>
    </w:p>
    <w:p>
      <w:pPr>
        <w:spacing w:after="60"/>
      </w:pPr>
    </w:p>
    <w:p>
      <w:pPr>
        <w:spacing w:after="40"/>
      </w:pPr>
      <w:r>
        <w:rPr>
          <w:rFonts w:ascii="Arial" w:cs="Arial" w:eastAsia="Arial" w:hAnsi="Arial"/>
          <w:b/>
          <w:bCs/>
          <w:sz w:val="21"/>
          <w:szCs w:val="21"/>
        </w:rPr>
        <w:t xml:space="preserve">Amara</w:t>
      </w:r>
    </w:p>
    <w:p>
      <w:pPr>
        <w:spacing w:after="200"/>
      </w:pPr>
      <w:r>
        <w:rPr>
          <w:rFonts w:ascii="Arial" w:cs="Arial" w:eastAsia="Arial" w:hAnsi="Arial"/>
          <w:i/>
          <w:iCs/>
          <w:color w:val="666666"/>
          <w:sz w:val="19"/>
          <w:szCs w:val="19"/>
        </w:rPr>
        <w:t xml:space="preserve">Agricultural &amp; Parametric Risk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Henrik Olsen &lt;h.olsen@zurich-re.internal&gt;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Claudia Ferretti &lt;c.ferretti@zurich-re.internal&gt;; Philippe Durand &lt;p.durand@zurich-re.internal&gt;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28 October 2025, 10:08</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Nestlé reserves — multi-currency distortion + loss ratio by LOB concerns</w:t>
            </w:r>
          </w:p>
        </w:tc>
      </w:tr>
    </w:tbl>
    <w:p>
      <w:pPr>
        <w:spacing w:after="60"/>
      </w:pPr>
    </w:p>
    <w:p>
      <w:pPr>
        <w:spacing w:after="120"/>
      </w:pPr>
      <w:r>
        <w:rPr>
          <w:rFonts w:ascii="Arial" w:cs="Arial" w:eastAsia="Arial" w:hAnsi="Arial"/>
          <w:sz w:val="21"/>
          <w:szCs w:val="21"/>
        </w:rPr>
        <w:t xml:space="preserve">Claudia, Philippe,</w:t>
      </w:r>
    </w:p>
    <w:p>
      <w:pPr>
        <w:spacing w:after="60"/>
      </w:pPr>
    </w:p>
    <w:p>
      <w:pPr>
        <w:spacing w:after="120"/>
      </w:pPr>
      <w:r>
        <w:rPr>
          <w:rFonts w:ascii="Arial" w:cs="Arial" w:eastAsia="Arial" w:hAnsi="Arial"/>
          <w:sz w:val="21"/>
          <w:szCs w:val="21"/>
        </w:rPr>
        <w:t xml:space="preserve">I’ve been working through the Q4 reserve review and I need to flag two issues that are affecting the accuracy of our numbers.</w:t>
      </w:r>
    </w:p>
    <w:p>
      <w:pPr>
        <w:spacing w:after="60"/>
      </w:pPr>
    </w:p>
    <w:p>
      <w:pPr>
        <w:spacing w:after="120"/>
      </w:pPr>
      <w:r>
        <w:rPr>
          <w:rFonts w:ascii="Arial" w:cs="Arial" w:eastAsia="Arial" w:hAnsi="Arial"/>
          <w:b/>
          <w:bCs/>
          <w:sz w:val="21"/>
          <w:szCs w:val="21"/>
        </w:rPr>
        <w:t xml:space="preserve">1. MULTI-CURRENCY DISTORTION</w:t>
      </w:r>
    </w:p>
    <w:p>
      <w:pPr>
        <w:spacing w:after="60"/>
      </w:pPr>
    </w:p>
    <w:p>
      <w:pPr>
        <w:spacing w:after="120"/>
      </w:pPr>
      <w:r>
        <w:rPr>
          <w:rFonts w:ascii="Arial" w:cs="Arial" w:eastAsia="Arial" w:hAnsi="Arial"/>
          <w:b/>
          <w:bCs/>
          <w:sz w:val="21"/>
          <w:szCs w:val="21"/>
        </w:rPr>
        <w:t xml:space="preserve">The Nestlé BDX reports claims in original currency—CHF, USD, EUR, GBP, BRL—without conversion. </w:t>
      </w:r>
      <w:r>
        <w:rPr>
          <w:rFonts w:ascii="Arial" w:cs="Arial" w:eastAsia="Arial" w:hAnsi="Arial"/>
          <w:sz w:val="21"/>
          <w:szCs w:val="21"/>
        </w:rPr>
        <w:t xml:space="preserve">The reserve summary and loss ratio sheets are all labelled “CHF equiv.” but I cannot find a stated FX rate table anywhere in the workbook. When I tried to reconcile the claims register totals to the reserve summary, the numbers don’t tie.</w:t>
      </w:r>
    </w:p>
    <w:p>
      <w:pPr>
        <w:spacing w:after="60"/>
      </w:pPr>
    </w:p>
    <w:p>
      <w:pPr>
        <w:spacing w:after="120"/>
      </w:pPr>
      <w:r>
        <w:rPr>
          <w:rFonts w:ascii="Arial" w:cs="Arial" w:eastAsia="Arial" w:hAnsi="Arial"/>
          <w:sz w:val="21"/>
          <w:szCs w:val="21"/>
        </w:rPr>
        <w:t xml:space="preserve">Specific example: the Pakistan flood claims are recorded in USD in the claims register ($25.9M paid, $16.8M O/S). But the reserve summary for FL/WS shows CHF 43.9M paid. At what FX rate? If I use the 30 September spot rate (USD/CHF 0.85), the conversion should be CHF 22M, not CHF 43.9M. The discrepancy suggests either: (a) there are other flood/windstorm claims in the reserve summary that aren’t in the Q4 claims register (which would mean the BDX is incomplete), or (b) someone used a different FX rate, or (c) the reserve summary includes prior-year claims that are still open.</w:t>
      </w:r>
    </w:p>
    <w:p>
      <w:pPr>
        <w:spacing w:after="60"/>
      </w:pPr>
    </w:p>
    <w:p>
      <w:pPr>
        <w:spacing w:after="120"/>
      </w:pPr>
      <w:r>
        <w:rPr>
          <w:rFonts w:ascii="Arial" w:cs="Arial" w:eastAsia="Arial" w:hAnsi="Arial"/>
          <w:sz w:val="21"/>
          <w:szCs w:val="21"/>
        </w:rPr>
        <w:t xml:space="preserve">I suspect it’s (c)—the reserve summary is a cumulative position including the 2022 Pakistan flood residual reserves, while the claims register only shows 2025 claims. But if that’s the case, the BDX should make this explicit. Right now, it’s impossible to reconcile the two tabs without external information.</w:t>
      </w:r>
    </w:p>
    <w:p>
      <w:pPr>
        <w:spacing w:after="60"/>
      </w:pPr>
    </w:p>
    <w:p>
      <w:pPr>
        <w:spacing w:after="120"/>
      </w:pPr>
      <w:r>
        <w:rPr>
          <w:rFonts w:ascii="Arial" w:cs="Arial" w:eastAsia="Arial" w:hAnsi="Arial"/>
          <w:b/>
          <w:bCs/>
          <w:sz w:val="21"/>
          <w:szCs w:val="21"/>
        </w:rPr>
        <w:t xml:space="preserve">Claudia—</w:t>
      </w:r>
      <w:r>
        <w:rPr>
          <w:rFonts w:ascii="Arial" w:cs="Arial" w:eastAsia="Arial" w:hAnsi="Arial"/>
          <w:sz w:val="21"/>
          <w:szCs w:val="21"/>
        </w:rPr>
        <w:t xml:space="preserve">can you ask Aon to provide an FX rate table and a bridge from the claims register to the reserve summary? Without this, I cannot sign off the reserves with confidence.</w:t>
      </w:r>
    </w:p>
    <w:p>
      <w:pPr>
        <w:spacing w:after="60"/>
      </w:pPr>
    </w:p>
    <w:p>
      <w:pPr>
        <w:spacing w:after="120"/>
      </w:pPr>
      <w:r>
        <w:rPr>
          <w:rFonts w:ascii="Arial" w:cs="Arial" w:eastAsia="Arial" w:hAnsi="Arial"/>
          <w:b/>
          <w:bCs/>
          <w:sz w:val="21"/>
          <w:szCs w:val="21"/>
        </w:rPr>
        <w:t xml:space="preserve">2. LOSS RATIO DISTORTION — 2025 CATASTROPHE YEAR</w:t>
      </w:r>
    </w:p>
    <w:p>
      <w:pPr>
        <w:spacing w:after="60"/>
      </w:pPr>
    </w:p>
    <w:p>
      <w:pPr>
        <w:spacing w:after="120"/>
      </w:pPr>
      <w:r>
        <w:rPr>
          <w:rFonts w:ascii="Arial" w:cs="Arial" w:eastAsia="Arial" w:hAnsi="Arial"/>
          <w:b/>
          <w:bCs/>
          <w:sz w:val="21"/>
          <w:szCs w:val="21"/>
        </w:rPr>
        <w:t xml:space="preserve">The loss experience sheet shows the 2025 loss ratios by LOB. The numbers are alarming on the surface: </w:t>
      </w:r>
    </w:p>
    <w:p>
      <w:pPr>
        <w:spacing w:after="60"/>
      </w:pPr>
    </w:p>
    <w:p>
      <w:pPr>
        <w:spacing w:after="120"/>
      </w:pPr>
      <w:r>
        <w:rPr>
          <w:rFonts w:ascii="Arial" w:cs="Arial" w:eastAsia="Arial" w:hAnsi="Arial"/>
          <w:sz w:val="21"/>
          <w:szCs w:val="21"/>
        </w:rPr>
        <w:t xml:space="preserve">•  FL/WS: 416% loss ratio (CHF 52M incurred vs CHF 12.5M earned premium)</w:t>
      </w:r>
    </w:p>
    <w:p>
      <w:pPr>
        <w:spacing w:after="120"/>
      </w:pPr>
      <w:r>
        <w:rPr>
          <w:rFonts w:ascii="Arial" w:cs="Arial" w:eastAsia="Arial" w:hAnsi="Arial"/>
          <w:sz w:val="21"/>
          <w:szCs w:val="21"/>
        </w:rPr>
        <w:t xml:space="preserve">•  CONTAM/RECALL: 342% (CHF 32.5M vs CHF 9.5M)</w:t>
      </w:r>
    </w:p>
    <w:p>
      <w:pPr>
        <w:spacing w:after="120"/>
      </w:pPr>
      <w:r>
        <w:rPr>
          <w:rFonts w:ascii="Arial" w:cs="Arial" w:eastAsia="Arial" w:hAnsi="Arial"/>
          <w:sz w:val="21"/>
          <w:szCs w:val="21"/>
        </w:rPr>
        <w:t xml:space="preserve">•  AGRI/WATER: 519% (CHF 35.3M vs CHF 6.8M)</w:t>
      </w:r>
    </w:p>
    <w:p>
      <w:pPr>
        <w:spacing w:after="120"/>
      </w:pPr>
      <w:r>
        <w:rPr>
          <w:rFonts w:ascii="Arial" w:cs="Arial" w:eastAsia="Arial" w:hAnsi="Arial"/>
          <w:sz w:val="21"/>
          <w:szCs w:val="21"/>
        </w:rPr>
        <w:t xml:space="preserve">•  BI-SC/CBI: 323% (CHF 42M vs CHF 13M)</w:t>
      </w:r>
    </w:p>
    <w:p>
      <w:pPr>
        <w:spacing w:after="60"/>
      </w:pPr>
    </w:p>
    <w:p>
      <w:pPr>
        <w:spacing w:after="120"/>
      </w:pPr>
      <w:r>
        <w:rPr>
          <w:rFonts w:ascii="Arial" w:cs="Arial" w:eastAsia="Arial" w:hAnsi="Arial"/>
          <w:sz w:val="21"/>
          <w:szCs w:val="21"/>
        </w:rPr>
        <w:t xml:space="preserve">These are clearly CAT-driven and not representative of the attritional book. The problem is that the loss ratio sheet doesn’t separate CAT from attritional. If the board or Hannover Re sees a headline loss ratio of 250%+ on the BU3 book, the instinct will be to demand a massive rate increase or non-renewal.</w:t>
      </w:r>
    </w:p>
    <w:p>
      <w:pPr>
        <w:spacing w:after="60"/>
      </w:pPr>
    </w:p>
    <w:p>
      <w:pPr>
        <w:spacing w:after="120"/>
      </w:pPr>
      <w:r>
        <w:rPr>
          <w:rFonts w:ascii="Arial" w:cs="Arial" w:eastAsia="Arial" w:hAnsi="Arial"/>
          <w:b/>
          <w:bCs/>
          <w:sz w:val="21"/>
          <w:szCs w:val="21"/>
        </w:rPr>
        <w:t xml:space="preserve">I’d recommend we present the 2025 results in two views: </w:t>
      </w:r>
      <w:r>
        <w:rPr>
          <w:rFonts w:ascii="Arial" w:cs="Arial" w:eastAsia="Arial" w:hAnsi="Arial"/>
          <w:sz w:val="21"/>
          <w:szCs w:val="21"/>
        </w:rPr>
        <w:t xml:space="preserve">(a) including CAT events (Pakistan flood, KitKat recall, cocoa drought, Hurricane Marta), and (b) excluding CAT events. The ex-CAT 2025 loss ratio across all LOBs is approximately 48%—well within target. The CAT events alone account for ~CHF 145M of the ~CHF 175M total incurred. Presenting both views gives a much fairer picture of the underlying book quality and avoids a knee-jerk rate response that could make us uncompetitive on the attritional lines.</w:t>
      </w:r>
    </w:p>
    <w:p>
      <w:pPr>
        <w:spacing w:after="60"/>
      </w:pPr>
    </w:p>
    <w:p>
      <w:pPr>
        <w:spacing w:after="120"/>
      </w:pPr>
      <w:r>
        <w:rPr>
          <w:rFonts w:ascii="Arial" w:cs="Arial" w:eastAsia="Arial" w:hAnsi="Arial"/>
          <w:sz w:val="21"/>
          <w:szCs w:val="21"/>
        </w:rPr>
        <w:t xml:space="preserve">I’ll prepare both views for the committee paper. Philippe—please confirm which claims should be classified as CAT vs attritional so we’re using a consistent definition.</w:t>
      </w:r>
    </w:p>
    <w:p>
      <w:pPr>
        <w:spacing w:after="60"/>
      </w:pPr>
    </w:p>
    <w:p>
      <w:pPr>
        <w:spacing w:after="40"/>
      </w:pPr>
      <w:r>
        <w:rPr>
          <w:rFonts w:ascii="Arial" w:cs="Arial" w:eastAsia="Arial" w:hAnsi="Arial"/>
          <w:b/>
          <w:bCs/>
          <w:sz w:val="21"/>
          <w:szCs w:val="21"/>
        </w:rPr>
        <w:t xml:space="preserve">Dr. Henrik Olsen</w:t>
      </w:r>
    </w:p>
    <w:p>
      <w:pPr>
        <w:spacing w:after="200"/>
      </w:pPr>
      <w:r>
        <w:rPr>
          <w:rFonts w:ascii="Arial" w:cs="Arial" w:eastAsia="Arial" w:hAnsi="Arial"/>
          <w:i/>
          <w:iCs/>
          <w:color w:val="666666"/>
          <w:sz w:val="19"/>
          <w:szCs w:val="19"/>
        </w:rPr>
        <w:t xml:space="preserve">Actuarial Lead — Long-Tail Reserving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Claudia Ferretti &lt;c.ferretti@zurich-re.internal&gt;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Henrik Olsen &lt;h.olsen@zurich-re.internal&gt;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Cc:</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Philippe Durand &lt;p.durand@zurich-re.internal&gt;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3 November 2025, 14:45</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Nestlé D&amp;O — ClientEarth derivative action — reserving approach</w:t>
            </w:r>
          </w:p>
        </w:tc>
      </w:tr>
    </w:tbl>
    <w:p>
      <w:pPr>
        <w:spacing w:after="60"/>
      </w:pPr>
    </w:p>
    <w:p>
      <w:pPr>
        <w:spacing w:after="120"/>
      </w:pPr>
      <w:r>
        <w:rPr>
          <w:rFonts w:ascii="Arial" w:cs="Arial" w:eastAsia="Arial" w:hAnsi="Arial"/>
          <w:sz w:val="21"/>
          <w:szCs w:val="21"/>
        </w:rPr>
        <w:t xml:space="preserve">Henrik,</w:t>
      </w:r>
    </w:p>
    <w:p>
      <w:pPr>
        <w:spacing w:after="60"/>
      </w:pPr>
    </w:p>
    <w:p>
      <w:pPr>
        <w:spacing w:after="120"/>
      </w:pPr>
      <w:r>
        <w:rPr>
          <w:rFonts w:ascii="Arial" w:cs="Arial" w:eastAsia="Arial" w:hAnsi="Arial"/>
          <w:sz w:val="21"/>
          <w:szCs w:val="21"/>
        </w:rPr>
        <w:t xml:space="preserve">I want your view on how we should reserve the ClientEarth D&amp;O claim (NE-CL-2025-0701) before it goes to committee.</w:t>
      </w:r>
    </w:p>
    <w:p>
      <w:pPr>
        <w:spacing w:after="60"/>
      </w:pPr>
    </w:p>
    <w:p>
      <w:pPr>
        <w:spacing w:after="120"/>
      </w:pPr>
      <w:r>
        <w:rPr>
          <w:rFonts w:ascii="Arial" w:cs="Arial" w:eastAsia="Arial" w:hAnsi="Arial"/>
          <w:b/>
          <w:bCs/>
          <w:sz w:val="21"/>
          <w:szCs w:val="21"/>
        </w:rPr>
        <w:t xml:space="preserve">The claim: </w:t>
      </w:r>
      <w:r>
        <w:rPr>
          <w:rFonts w:ascii="Arial" w:cs="Arial" w:eastAsia="Arial" w:hAnsi="Arial"/>
          <w:sz w:val="21"/>
          <w:szCs w:val="21"/>
        </w:rPr>
        <w:t xml:space="preserve">ClientEarth (an environmental NGO) filed a shareholder derivative action in Swiss court in May 2025 alleging that Nestlé’s board failed to implement its stated plastic packaging reduction commitments. The claim argues this constitutes a breach of fiduciary duty because (a) the public commitments inflated the share price, and (b) the failure to deliver exposes the company to future regulatory penalties under the EU Packaging and Packaging Waste Regulation (PPWR) coming into force in 2026. Defence costs to date are CHF 3.8M. Case reserve is CHF 15M. IBNR is CHF 5M.</w:t>
      </w:r>
    </w:p>
    <w:p>
      <w:pPr>
        <w:spacing w:after="60"/>
      </w:pPr>
    </w:p>
    <w:p>
      <w:pPr>
        <w:spacing w:after="120"/>
      </w:pPr>
      <w:r>
        <w:rPr>
          <w:rFonts w:ascii="Arial" w:cs="Arial" w:eastAsia="Arial" w:hAnsi="Arial"/>
          <w:b/>
          <w:bCs/>
          <w:sz w:val="21"/>
          <w:szCs w:val="21"/>
        </w:rPr>
        <w:t xml:space="preserve">My concerns:</w:t>
      </w:r>
    </w:p>
    <w:p>
      <w:pPr>
        <w:spacing w:after="60"/>
      </w:pPr>
    </w:p>
    <w:p>
      <w:pPr>
        <w:spacing w:after="120"/>
      </w:pPr>
      <w:r>
        <w:rPr>
          <w:rFonts w:ascii="Arial" w:cs="Arial" w:eastAsia="Arial" w:hAnsi="Arial"/>
          <w:b/>
          <w:bCs/>
          <w:sz w:val="21"/>
          <w:szCs w:val="21"/>
        </w:rPr>
        <w:t xml:space="preserve">a) Precedent risk. </w:t>
      </w:r>
      <w:r>
        <w:rPr>
          <w:rFonts w:ascii="Arial" w:cs="Arial" w:eastAsia="Arial" w:hAnsi="Arial"/>
          <w:sz w:val="21"/>
          <w:szCs w:val="21"/>
        </w:rPr>
        <w:t xml:space="preserve">ClientEarth has filed similar actions against Shell (2023, Netherlands) and TotalEnergies (2024, France). The Shell case was dismissed at first instance but is on appeal. If any of these cases succeeds, it creates a template for ESG-breach derivative actions across every major consumer goods company. Nestlé is a test case—if ClientEarth wins here, we should expect a wave of similar claims against our other BU3 insureds (Unilever, Danone, etc.). This isn’t just a Nestlé reserve issue; it’s a portfolio accumulation issue.</w:t>
      </w:r>
    </w:p>
    <w:p>
      <w:pPr>
        <w:spacing w:after="60"/>
      </w:pPr>
    </w:p>
    <w:p>
      <w:pPr>
        <w:spacing w:after="120"/>
      </w:pPr>
      <w:r>
        <w:rPr>
          <w:rFonts w:ascii="Arial" w:cs="Arial" w:eastAsia="Arial" w:hAnsi="Arial"/>
          <w:b/>
          <w:bCs/>
          <w:sz w:val="21"/>
          <w:szCs w:val="21"/>
        </w:rPr>
        <w:t xml:space="preserve">b) Defence cost burn rate. </w:t>
      </w:r>
      <w:r>
        <w:rPr>
          <w:rFonts w:ascii="Arial" w:cs="Arial" w:eastAsia="Arial" w:hAnsi="Arial"/>
          <w:sz w:val="21"/>
          <w:szCs w:val="21"/>
        </w:rPr>
        <w:t xml:space="preserve">CHF 3.8M in 5 months of pre-trial preparation. Swiss commercial litigation is expensive, but this rate implies the case is being defended aggressively. If it goes to trial (expected Q3 2026), Clyde &amp; Co estimates total defence costs of CHF 8–12M. That’s approaching the D&amp;O deductible level. And if ClientEarth appeals an unfavourable ruling (which they always do), we could be looking at 3–4 years of legal costs before resolution.</w:t>
      </w:r>
    </w:p>
    <w:p>
      <w:pPr>
        <w:spacing w:after="60"/>
      </w:pPr>
    </w:p>
    <w:p>
      <w:pPr>
        <w:spacing w:after="120"/>
      </w:pPr>
      <w:r>
        <w:rPr>
          <w:rFonts w:ascii="Arial" w:cs="Arial" w:eastAsia="Arial" w:hAnsi="Arial"/>
          <w:b/>
          <w:bCs/>
          <w:sz w:val="21"/>
          <w:szCs w:val="21"/>
        </w:rPr>
        <w:t xml:space="preserve">c) Damages quantum. </w:t>
      </w:r>
      <w:r>
        <w:rPr>
          <w:rFonts w:ascii="Arial" w:cs="Arial" w:eastAsia="Arial" w:hAnsi="Arial"/>
          <w:sz w:val="21"/>
          <w:szCs w:val="21"/>
        </w:rPr>
        <w:t xml:space="preserve">If the court finds a breach of fiduciary duty, the damages could be measured as the share price decline attributable to the “greenwashing premium” being unwound. Nestlé’s market cap is ~CHF 250B. Even a 1% attribution would be CHF 2.5B—far beyond our D&amp;O tower. I think the $15M case reserve assumes either (a) the case is dismissed, or (b) it settles for nuisance value. Neither assumption is safe given ClientEarth’s track record of pursuing appeals.</w:t>
      </w:r>
    </w:p>
    <w:p>
      <w:pPr>
        <w:spacing w:after="60"/>
      </w:pPr>
    </w:p>
    <w:p>
      <w:pPr>
        <w:spacing w:after="120"/>
      </w:pPr>
      <w:r>
        <w:rPr>
          <w:rFonts w:ascii="Arial" w:cs="Arial" w:eastAsia="Arial" w:hAnsi="Arial"/>
          <w:sz w:val="21"/>
          <w:szCs w:val="21"/>
        </w:rPr>
        <w:t xml:space="preserve">I’d suggest we book CHF 15M as the base case (settlement), with an adverse scenario at CHF 50M (trial + partial adverse ruling + appeal), and a catastrophic scenario at CHF 200M+ (full adverse ruling with damages). The committee needs to understand this is a binary outcome with a fat tail.</w:t>
      </w:r>
    </w:p>
    <w:p>
      <w:pPr>
        <w:spacing w:after="60"/>
      </w:pPr>
    </w:p>
    <w:p>
      <w:pPr>
        <w:spacing w:after="40"/>
      </w:pPr>
      <w:r>
        <w:rPr>
          <w:rFonts w:ascii="Arial" w:cs="Arial" w:eastAsia="Arial" w:hAnsi="Arial"/>
          <w:b/>
          <w:bCs/>
          <w:sz w:val="21"/>
          <w:szCs w:val="21"/>
        </w:rPr>
        <w:t xml:space="preserve">Claudia</w:t>
      </w:r>
    </w:p>
    <w:p>
      <w:pPr>
        <w:spacing w:after="200"/>
      </w:pPr>
      <w:r>
        <w:rPr>
          <w:rFonts w:ascii="Arial" w:cs="Arial" w:eastAsia="Arial" w:hAnsi="Arial"/>
          <w:i/>
          <w:iCs/>
          <w:color w:val="666666"/>
          <w:sz w:val="19"/>
          <w:szCs w:val="19"/>
        </w:rPr>
        <w:t xml:space="preserve">Senior Underwriter — Consumer &amp; Agri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Dr. Henrik Olsen &lt;h.olsen@zurich-re.internal&gt;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Claudia Ferretti &lt;c.ferretti@zurich-re.internal&gt;; Philippe Durand &lt;p.durand@zurich-re.internal&gt;; Amara Diallo &lt;a.diallo@zurich-re.internal&gt;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7 November 2025, 09:30</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Nestlé BU3 — Q4 reserve recommendation — MULTI-CURRENCY RECONCILED</w:t>
            </w:r>
          </w:p>
        </w:tc>
      </w:tr>
    </w:tbl>
    <w:p>
      <w:pPr>
        <w:spacing w:after="60"/>
      </w:pPr>
    </w:p>
    <w:p>
      <w:pPr>
        <w:spacing w:after="120"/>
      </w:pPr>
      <w:r>
        <w:rPr>
          <w:rFonts w:ascii="Arial" w:cs="Arial" w:eastAsia="Arial" w:hAnsi="Arial"/>
          <w:sz w:val="21"/>
          <w:szCs w:val="21"/>
        </w:rPr>
        <w:t xml:space="preserve">All,</w:t>
      </w:r>
    </w:p>
    <w:p>
      <w:pPr>
        <w:spacing w:after="60"/>
      </w:pPr>
    </w:p>
    <w:p>
      <w:pPr>
        <w:spacing w:after="120"/>
      </w:pPr>
      <w:r>
        <w:rPr>
          <w:rFonts w:ascii="Arial" w:cs="Arial" w:eastAsia="Arial" w:hAnsi="Arial"/>
          <w:sz w:val="21"/>
          <w:szCs w:val="21"/>
        </w:rPr>
        <w:t xml:space="preserve">I’ve received the FX rate table from Aon and reconciled the BDX. The good news: the discrepancy was option (c)—the reserve summary includes prior-year open claims. The bad news: the BDX format made this nearly impossible to detect without external data, and I’ve found two additional issues during reconciliation.</w:t>
      </w:r>
    </w:p>
    <w:p>
      <w:pPr>
        <w:spacing w:after="60"/>
      </w:pPr>
    </w:p>
    <w:p>
      <w:pPr>
        <w:spacing w:after="120"/>
      </w:pPr>
      <w:r>
        <w:rPr>
          <w:rFonts w:ascii="Arial" w:cs="Arial" w:eastAsia="Arial" w:hAnsi="Arial"/>
          <w:b/>
          <w:bCs/>
          <w:sz w:val="21"/>
          <w:szCs w:val="21"/>
        </w:rPr>
        <w:t xml:space="preserve">RECONCILIATION FINDINGS:</w:t>
      </w:r>
    </w:p>
    <w:p>
      <w:pPr>
        <w:spacing w:after="60"/>
      </w:pPr>
    </w:p>
    <w:p>
      <w:pPr>
        <w:spacing w:after="120"/>
      </w:pPr>
      <w:r>
        <w:rPr>
          <w:rFonts w:ascii="Arial" w:cs="Arial" w:eastAsia="Arial" w:hAnsi="Arial"/>
          <w:sz w:val="21"/>
          <w:szCs w:val="21"/>
        </w:rPr>
        <w:t xml:space="preserve">•  The FL/WS reserve summary (CHF 43.9M paid) includes CHF 18.8M from the 2022 Pakistan flood (residual BI reserve still open) plus CHF 25.1M from 2025 claims. This now ties to the claims register once you add the 2022 carryforward. Confirmed with Aon.</w:t>
      </w:r>
    </w:p>
    <w:p>
      <w:pPr>
        <w:spacing w:after="120"/>
      </w:pPr>
      <w:r>
        <w:rPr>
          <w:rFonts w:ascii="Arial" w:cs="Arial" w:eastAsia="Arial" w:hAnsi="Arial"/>
          <w:sz w:val="21"/>
          <w:szCs w:val="21"/>
        </w:rPr>
        <w:t xml:space="preserve">•  FX rates used: USD/CHF 0.88 (30 Sep 2025 fixing), EUR/CHF 0.94, GBP/CHF 1.12, BRL/CHF 0.16. These are embedded in the data but not documented anywhere in the workbook. I’ve added a reconciliation tab to the working file.</w:t>
      </w:r>
    </w:p>
    <w:p>
      <w:pPr>
        <w:spacing w:after="60"/>
      </w:pPr>
    </w:p>
    <w:p>
      <w:pPr>
        <w:spacing w:after="120"/>
      </w:pPr>
      <w:r>
        <w:rPr>
          <w:rFonts w:ascii="Arial" w:cs="Arial" w:eastAsia="Arial" w:hAnsi="Arial"/>
          <w:b/>
          <w:bCs/>
          <w:sz w:val="21"/>
          <w:szCs w:val="21"/>
        </w:rPr>
        <w:t xml:space="preserve">Issue found during reconciliation: </w:t>
      </w:r>
      <w:r>
        <w:rPr>
          <w:rFonts w:ascii="Arial" w:cs="Arial" w:eastAsia="Arial" w:hAnsi="Arial"/>
          <w:sz w:val="21"/>
          <w:szCs w:val="21"/>
        </w:rPr>
        <w:t xml:space="preserve">The cargo claim (NE-CL-2025-0501, Nescafé containers lost overboard) is recorded as “SUB” (Subrogated) in the claims register with $2.8M paid and $0 outstanding. But the reserve summary shows CHF 3.5M outstanding for CARGO/STOCK. Either the subrogation was successful and the reserve should be released, or the reserve is for a different cargo claim that isn’t in the Q4 claims register. Philippe—can you clarify? If the $3.5M should be released, it improves our total O/S by that amount.</w:t>
      </w:r>
    </w:p>
    <w:p>
      <w:pPr>
        <w:spacing w:after="60"/>
      </w:pPr>
    </w:p>
    <w:p>
      <w:pPr>
        <w:spacing w:after="120"/>
      </w:pPr>
      <w:r>
        <w:rPr>
          <w:rFonts w:ascii="Arial" w:cs="Arial" w:eastAsia="Arial" w:hAnsi="Arial"/>
          <w:b/>
          <w:bCs/>
          <w:sz w:val="21"/>
          <w:szCs w:val="21"/>
        </w:rPr>
        <w:t xml:space="preserve">RESERVE RECOMMENDATION:</w:t>
      </w:r>
    </w:p>
    <w:p>
      <w:pPr>
        <w:spacing w:after="60"/>
      </w:pPr>
    </w:p>
    <w:p>
      <w:pPr>
        <w:spacing w:after="120"/>
      </w:pPr>
      <w:r>
        <w:rPr>
          <w:rFonts w:ascii="Arial" w:cs="Arial" w:eastAsia="Arial" w:hAnsi="Arial"/>
          <w:b/>
          <w:bCs/>
          <w:sz w:val="21"/>
          <w:szCs w:val="21"/>
        </w:rPr>
        <w:t xml:space="preserve">A. Flood / Windstorm (FL/WS):</w:t>
      </w:r>
    </w:p>
    <w:p>
      <w:pPr>
        <w:spacing w:after="120"/>
      </w:pPr>
      <w:r>
        <w:rPr>
          <w:rFonts w:ascii="Arial" w:cs="Arial" w:eastAsia="Arial" w:hAnsi="Arial"/>
          <w:sz w:val="21"/>
          <w:szCs w:val="21"/>
        </w:rPr>
        <w:t xml:space="preserve">•  Current: CHF 115.4M gross incurred (including 2022 carryforward)</w:t>
      </w:r>
    </w:p>
    <w:p>
      <w:pPr>
        <w:spacing w:after="120"/>
      </w:pPr>
      <w:r>
        <w:rPr>
          <w:rFonts w:ascii="Arial" w:cs="Arial" w:eastAsia="Arial" w:hAnsi="Arial"/>
          <w:sz w:val="21"/>
          <w:szCs w:val="21"/>
        </w:rPr>
        <w:t xml:space="preserve">•  Recommended: CHF 128M (+CHF 12.6M) — additional IBNR for Pakistan BI ramp-up and climate-adjusted expected loss</w:t>
      </w:r>
    </w:p>
    <w:p>
      <w:pPr>
        <w:spacing w:after="120"/>
      </w:pPr>
      <w:r>
        <w:rPr>
          <w:rFonts w:ascii="Arial" w:cs="Arial" w:eastAsia="Arial" w:hAnsi="Arial"/>
          <w:sz w:val="21"/>
          <w:szCs w:val="21"/>
        </w:rPr>
        <w:t xml:space="preserve">•  Adequacy: MARGINAL at current; ADEQUATE at recommended</w:t>
      </w:r>
    </w:p>
    <w:p>
      <w:pPr>
        <w:spacing w:after="60"/>
      </w:pPr>
    </w:p>
    <w:p>
      <w:pPr>
        <w:spacing w:after="120"/>
      </w:pPr>
      <w:r>
        <w:rPr>
          <w:rFonts w:ascii="Arial" w:cs="Arial" w:eastAsia="Arial" w:hAnsi="Arial"/>
          <w:b/>
          <w:bCs/>
          <w:sz w:val="21"/>
          <w:szCs w:val="21"/>
        </w:rPr>
        <w:t xml:space="preserve">B. Contamination / Recall (KitKat event):</w:t>
      </w:r>
    </w:p>
    <w:p>
      <w:pPr>
        <w:spacing w:after="120"/>
      </w:pPr>
      <w:r>
        <w:rPr>
          <w:rFonts w:ascii="Arial" w:cs="Arial" w:eastAsia="Arial" w:hAnsi="Arial"/>
          <w:sz w:val="21"/>
          <w:szCs w:val="21"/>
        </w:rPr>
        <w:t xml:space="preserve">•  Current: CHF 35.6M (PL + CONTAM + RECALL combined)</w:t>
      </w:r>
    </w:p>
    <w:p>
      <w:pPr>
        <w:spacing w:after="120"/>
      </w:pPr>
      <w:r>
        <w:rPr>
          <w:rFonts w:ascii="Arial" w:cs="Arial" w:eastAsia="Arial" w:hAnsi="Arial"/>
          <w:sz w:val="21"/>
          <w:szCs w:val="21"/>
        </w:rPr>
        <w:t xml:space="preserve">•  Recommended: CHF 42M (+CHF 6.4M) — additional IBNR for potential batch extension and PL aggregation under German law</w:t>
      </w:r>
    </w:p>
    <w:p>
      <w:pPr>
        <w:spacing w:after="120"/>
      </w:pPr>
      <w:r>
        <w:rPr>
          <w:rFonts w:ascii="Arial" w:cs="Arial" w:eastAsia="Arial" w:hAnsi="Arial"/>
          <w:sz w:val="21"/>
          <w:szCs w:val="21"/>
        </w:rPr>
        <w:t xml:space="preserve">•  Adequacy: MARGINAL</w:t>
      </w:r>
    </w:p>
    <w:p>
      <w:pPr>
        <w:spacing w:after="60"/>
      </w:pPr>
    </w:p>
    <w:p>
      <w:pPr>
        <w:spacing w:after="120"/>
      </w:pPr>
      <w:r>
        <w:rPr>
          <w:rFonts w:ascii="Arial" w:cs="Arial" w:eastAsia="Arial" w:hAnsi="Arial"/>
          <w:b/>
          <w:bCs/>
          <w:sz w:val="21"/>
          <w:szCs w:val="21"/>
        </w:rPr>
        <w:t xml:space="preserve">C. Cocoa parametric (AGRI):</w:t>
      </w:r>
    </w:p>
    <w:p>
      <w:pPr>
        <w:spacing w:after="120"/>
      </w:pPr>
      <w:r>
        <w:rPr>
          <w:rFonts w:ascii="Arial" w:cs="Arial" w:eastAsia="Arial" w:hAnsi="Arial"/>
          <w:sz w:val="21"/>
          <w:szCs w:val="21"/>
        </w:rPr>
        <w:t xml:space="preserve">•  Current: CHF 31.5M gross incurred</w:t>
      </w:r>
    </w:p>
    <w:p>
      <w:pPr>
        <w:spacing w:after="120"/>
      </w:pPr>
      <w:r>
        <w:rPr>
          <w:rFonts w:ascii="Arial" w:cs="Arial" w:eastAsia="Arial" w:hAnsi="Arial"/>
          <w:sz w:val="21"/>
          <w:szCs w:val="21"/>
        </w:rPr>
        <w:t xml:space="preserve">•  Recommended: no change — parametric claim is fixed at index value, no development risk</w:t>
      </w:r>
    </w:p>
    <w:p>
      <w:pPr>
        <w:spacing w:after="120"/>
      </w:pPr>
      <w:r>
        <w:rPr>
          <w:rFonts w:ascii="Arial" w:cs="Arial" w:eastAsia="Arial" w:hAnsi="Arial"/>
          <w:sz w:val="21"/>
          <w:szCs w:val="21"/>
        </w:rPr>
        <w:t xml:space="preserve">•  Adequacy: ADEQUATE (though noting Amara’s basis risk concern for renewal pricing)</w:t>
      </w:r>
    </w:p>
    <w:p>
      <w:pPr>
        <w:spacing w:after="60"/>
      </w:pPr>
    </w:p>
    <w:p>
      <w:pPr>
        <w:spacing w:after="120"/>
      </w:pPr>
      <w:r>
        <w:rPr>
          <w:rFonts w:ascii="Arial" w:cs="Arial" w:eastAsia="Arial" w:hAnsi="Arial"/>
          <w:b/>
          <w:bCs/>
          <w:sz w:val="21"/>
          <w:szCs w:val="21"/>
        </w:rPr>
        <w:t xml:space="preserve">D. ClientEarth D&amp;O:</w:t>
      </w:r>
    </w:p>
    <w:p>
      <w:pPr>
        <w:spacing w:after="120"/>
      </w:pPr>
      <w:r>
        <w:rPr>
          <w:rFonts w:ascii="Arial" w:cs="Arial" w:eastAsia="Arial" w:hAnsi="Arial"/>
          <w:sz w:val="21"/>
          <w:szCs w:val="21"/>
        </w:rPr>
        <w:t xml:space="preserve">•  Current: CHF 23.8M gross incurred</w:t>
      </w:r>
    </w:p>
    <w:p>
      <w:pPr>
        <w:spacing w:after="120"/>
      </w:pPr>
      <w:r>
        <w:rPr>
          <w:rFonts w:ascii="Arial" w:cs="Arial" w:eastAsia="Arial" w:hAnsi="Arial"/>
          <w:sz w:val="21"/>
          <w:szCs w:val="21"/>
        </w:rPr>
        <w:t xml:space="preserve">•  Recommended: CHF 30M (+CHF 6.2M) — increased defence cost provision + settlement buffer</w:t>
      </w:r>
    </w:p>
    <w:p>
      <w:pPr>
        <w:spacing w:after="120"/>
      </w:pPr>
      <w:r>
        <w:rPr>
          <w:rFonts w:ascii="Arial" w:cs="Arial" w:eastAsia="Arial" w:hAnsi="Arial"/>
          <w:sz w:val="21"/>
          <w:szCs w:val="21"/>
        </w:rPr>
        <w:t xml:space="preserve">•  Adverse scenario: CHF 50–200M (binary outcome, cannot be actuarially modelled)</w:t>
      </w:r>
    </w:p>
    <w:p>
      <w:pPr>
        <w:spacing w:after="120"/>
      </w:pPr>
      <w:r>
        <w:rPr>
          <w:rFonts w:ascii="Arial" w:cs="Arial" w:eastAsia="Arial" w:hAnsi="Arial"/>
          <w:sz w:val="21"/>
          <w:szCs w:val="21"/>
        </w:rPr>
        <w:t xml:space="preserve">•  Adequacy: DEFICIENT — flagged red. No credible triangle for ESG derivative actions.</w:t>
      </w:r>
    </w:p>
    <w:p>
      <w:pPr>
        <w:spacing w:after="60"/>
      </w:pPr>
    </w:p>
    <w:p>
      <w:pPr>
        <w:spacing w:after="120"/>
      </w:pPr>
      <w:r>
        <w:rPr>
          <w:rFonts w:ascii="Arial" w:cs="Arial" w:eastAsia="Arial" w:hAnsi="Arial"/>
          <w:b/>
          <w:bCs/>
          <w:sz w:val="21"/>
          <w:szCs w:val="21"/>
        </w:rPr>
        <w:t xml:space="preserve">E. All other lines:</w:t>
      </w:r>
    </w:p>
    <w:p>
      <w:pPr>
        <w:spacing w:after="120"/>
      </w:pPr>
      <w:r>
        <w:rPr>
          <w:rFonts w:ascii="Arial" w:cs="Arial" w:eastAsia="Arial" w:hAnsi="Arial"/>
          <w:sz w:val="21"/>
          <w:szCs w:val="21"/>
        </w:rPr>
        <w:t xml:space="preserve">•  Recommended: no material change</w:t>
      </w:r>
    </w:p>
    <w:p>
      <w:pPr>
        <w:spacing w:after="120"/>
      </w:pPr>
      <w:r>
        <w:rPr>
          <w:rFonts w:ascii="Arial" w:cs="Arial" w:eastAsia="Arial" w:hAnsi="Arial"/>
          <w:sz w:val="21"/>
          <w:szCs w:val="21"/>
        </w:rPr>
        <w:t xml:space="preserve">•  Adequacy: ADEQUATE</w:t>
      </w:r>
    </w:p>
    <w:p>
      <w:pPr>
        <w:spacing w:after="60"/>
      </w:pPr>
    </w:p>
    <w:p>
      <w:pPr>
        <w:spacing w:after="120"/>
      </w:pPr>
      <w:r>
        <w:rPr>
          <w:rFonts w:ascii="Arial" w:cs="Arial" w:eastAsia="Arial" w:hAnsi="Arial"/>
          <w:b/>
          <w:bCs/>
          <w:sz w:val="21"/>
          <w:szCs w:val="21"/>
        </w:rPr>
        <w:t xml:space="preserve">TOTAL: recommended gross incurred moves from CHF 310M to CHF 342M (+CHF 32M, net of the potential CHF 3.5M cargo release).</w:t>
      </w:r>
    </w:p>
    <w:p>
      <w:pPr>
        <w:spacing w:after="60"/>
      </w:pPr>
    </w:p>
    <w:p>
      <w:pPr>
        <w:spacing w:after="120"/>
      </w:pPr>
      <w:r>
        <w:rPr>
          <w:rFonts w:ascii="Arial" w:cs="Arial" w:eastAsia="Arial" w:hAnsi="Arial"/>
          <w:b/>
          <w:bCs/>
          <w:color w:val="CC0000"/>
          <w:sz w:val="21"/>
          <w:szCs w:val="21"/>
        </w:rPr>
        <w:t xml:space="preserve">CAVEATS:</w:t>
      </w:r>
    </w:p>
    <w:p>
      <w:pPr>
        <w:spacing w:after="60"/>
      </w:pPr>
    </w:p>
    <w:p>
      <w:pPr>
        <w:spacing w:after="120"/>
      </w:pPr>
      <w:r>
        <w:rPr>
          <w:rFonts w:ascii="Arial" w:cs="Arial" w:eastAsia="Arial" w:hAnsi="Arial"/>
          <w:b/>
          <w:bCs/>
          <w:color w:val="CC0000"/>
          <w:sz w:val="21"/>
          <w:szCs w:val="21"/>
        </w:rPr>
        <w:t xml:space="preserve">Caveat 1: </w:t>
      </w:r>
      <w:r>
        <w:rPr>
          <w:rFonts w:ascii="Arial" w:cs="Arial" w:eastAsia="Arial" w:hAnsi="Arial"/>
          <w:color w:val="CC0000"/>
          <w:sz w:val="21"/>
          <w:szCs w:val="21"/>
        </w:rPr>
        <w:t xml:space="preserve">All reserves are in CHF equivalent at 30 Sep 2025 FX rates. The PKR has depreciated a further 4% since then. If USD-denominated claims are re-converted at current rates, the CHF position could shift by 2–3%. I recommend the committee approve a ±5% FX tolerance band to avoid quarterly reserve movements driven purely by currency noise.</w:t>
      </w:r>
    </w:p>
    <w:p>
      <w:pPr>
        <w:spacing w:after="60"/>
      </w:pPr>
    </w:p>
    <w:p>
      <w:pPr>
        <w:spacing w:after="120"/>
      </w:pPr>
      <w:r>
        <w:rPr>
          <w:rFonts w:ascii="Arial" w:cs="Arial" w:eastAsia="Arial" w:hAnsi="Arial"/>
          <w:b/>
          <w:bCs/>
          <w:color w:val="CC0000"/>
          <w:sz w:val="21"/>
          <w:szCs w:val="21"/>
        </w:rPr>
        <w:t xml:space="preserve">Caveat 2: </w:t>
      </w:r>
      <w:r>
        <w:rPr>
          <w:rFonts w:ascii="Arial" w:cs="Arial" w:eastAsia="Arial" w:hAnsi="Arial"/>
          <w:color w:val="CC0000"/>
          <w:sz w:val="21"/>
          <w:szCs w:val="21"/>
        </w:rPr>
        <w:t xml:space="preserve">The KitKat recall scope is based on Nestlé’s voluntary decision. If a food safety regulator (BVL in Germany or FSA in the UK) mandates a wider recall beyond the DACH region—for example, if the York factory supplied KitKat to other European markets from the same batch—the recall cost could increase 3–5x. Crisis24 has indicated that a mandatory EU-wide recall would cost CHF 55–80M. This is not in our base case but should be disclosed as a plausible adverse scenario.</w:t>
      </w:r>
    </w:p>
    <w:p>
      <w:pPr>
        <w:spacing w:after="60"/>
      </w:pPr>
    </w:p>
    <w:p>
      <w:pPr>
        <w:spacing w:after="120"/>
      </w:pPr>
      <w:r>
        <w:rPr>
          <w:rFonts w:ascii="Arial" w:cs="Arial" w:eastAsia="Arial" w:hAnsi="Arial"/>
          <w:b/>
          <w:bCs/>
          <w:color w:val="CC0000"/>
          <w:sz w:val="21"/>
          <w:szCs w:val="21"/>
        </w:rPr>
        <w:t xml:space="preserve">Caveat 3: </w:t>
      </w:r>
      <w:r>
        <w:rPr>
          <w:rFonts w:ascii="Arial" w:cs="Arial" w:eastAsia="Arial" w:hAnsi="Arial"/>
          <w:color w:val="CC0000"/>
          <w:sz w:val="21"/>
          <w:szCs w:val="21"/>
        </w:rPr>
        <w:t xml:space="preserve">The ClientEarth D&amp;O reserve range is not actuarially derived. I am signing off the CHF 30M base case as my professional judgment, not as a triangulated estimate. The committee should understand that ESG litigation is an emerging risk class with no development history. If the Shell case succeeds on appeal in the Netherlands (expected Q1 2026), I will recommend an immediate reserve strengthening across the entire D&amp;O portfolio, not just Nestlé.</w:t>
      </w:r>
    </w:p>
    <w:p>
      <w:pPr>
        <w:spacing w:after="60"/>
      </w:pPr>
    </w:p>
    <w:p>
      <w:pPr>
        <w:spacing w:after="120"/>
      </w:pPr>
      <w:r>
        <w:rPr>
          <w:rFonts w:ascii="Arial" w:cs="Arial" w:eastAsia="Arial" w:hAnsi="Arial"/>
          <w:sz w:val="21"/>
          <w:szCs w:val="21"/>
        </w:rPr>
        <w:t xml:space="preserve">Please confirm your agreement by Thursday COB. I’ll submit the committee paper Friday morning.</w:t>
      </w:r>
    </w:p>
    <w:p>
      <w:pPr>
        <w:spacing w:after="60"/>
      </w:pPr>
    </w:p>
    <w:p>
      <w:pPr>
        <w:spacing w:after="40"/>
      </w:pPr>
      <w:r>
        <w:rPr>
          <w:rFonts w:ascii="Arial" w:cs="Arial" w:eastAsia="Arial" w:hAnsi="Arial"/>
          <w:b/>
          <w:bCs/>
          <w:sz w:val="21"/>
          <w:szCs w:val="21"/>
        </w:rPr>
        <w:t xml:space="preserve">Dr. Henrik Olsen</w:t>
      </w:r>
    </w:p>
    <w:p>
      <w:pPr>
        <w:spacing w:after="200"/>
      </w:pPr>
      <w:r>
        <w:rPr>
          <w:rFonts w:ascii="Arial" w:cs="Arial" w:eastAsia="Arial" w:hAnsi="Arial"/>
          <w:i/>
          <w:iCs/>
          <w:color w:val="666666"/>
          <w:sz w:val="19"/>
          <w:szCs w:val="19"/>
        </w:rPr>
        <w:t xml:space="preserve">Actuarial Lead — Long-Tail Reserving</w:t>
      </w:r>
    </w:p>
    <w:p>
      <w:pPr>
        <w:spacing w:after="60"/>
      </w:pPr>
    </w:p>
    <w:p>
      <w:pPr>
        <w:spacing w:after="120"/>
      </w:pPr>
      <w:r>
        <w:rPr>
          <w:rFonts w:ascii="Arial" w:cs="Arial" w:eastAsia="Arial" w:hAnsi="Arial"/>
          <w:color w:val="CCCCCC"/>
          <w:sz w:val="21"/>
          <w:szCs w:val="21"/>
        </w:rPr>
        <w:t xml:space="preserve">———</w:t>
      </w:r>
    </w:p>
    <w:p>
      <w:pPr>
        <w:spacing w:after="120"/>
      </w:pPr>
      <w:r>
        <w:rPr>
          <w:rFonts w:ascii="Arial" w:cs="Arial" w:eastAsia="Arial" w:hAnsi="Arial"/>
          <w:i/>
          <w:iCs/>
          <w:color w:val="999999"/>
          <w:sz w:val="21"/>
          <w:szCs w:val="21"/>
        </w:rPr>
        <w:t xml:space="preserve">This communication is internal and privileged. Do not forward outside Zurich Insurance Group without authorisation from Legal.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2026-02-19T16:28:20.935Z</dcterms:created>
  <dcterms:modified xsi:type="dcterms:W3CDTF">2026-02-19T16:28:20.935Z</dcterms:modified>
</cp:coreProperties>
</file>

<file path=docProps/custom.xml><?xml version="1.0" encoding="utf-8"?>
<Properties xmlns="http://schemas.openxmlformats.org/officeDocument/2006/custom-properties" xmlns:vt="http://schemas.openxmlformats.org/officeDocument/2006/docPropsVTypes"/>
</file>