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Sustento Legal y Propuesta Técnica</w:t>
      </w:r>
    </w:p>
    <w:p>
      <w:pPr>
        <w:spacing w:after="300"/>
        <w:jc w:val="center"/>
      </w:pPr>
      <w:r>
        <w:t xml:space="preserve">Digitalización de la recepción de Currículum Vitae de postulantes — Piloto: Operador Tecnológico</w:t>
      </w:r>
    </w:p>
    <w:p>
      <w:pPr>
        <w:spacing w:after="400"/>
        <w:jc w:val="center"/>
      </w:pPr>
      <w:r>
        <w:t xml:space="preserve">Sistema propuesto: SIRE-CV (Sistema Integrado de Recepción Electrónica de CV)</w:t>
      </w:r>
    </w:p>
    <w:p>
      <w:pPr>
        <w:pStyle w:val="Heading1"/>
        <w:spacing w:after="150" w:before="300"/>
      </w:pPr>
      <w:r>
        <w:t xml:space="preserve">1. Objetivo</w:t>
      </w:r>
    </w:p>
    <w:p>
      <w:pPr>
        <w:spacing w:after="150"/>
      </w:pPr>
      <w:r>
        <w:t xml:space="preserve">Proponer al Instituto Nacional de Estadística e Informática (INEI), como ente rector en informática del Estado, la evaluación y eventual adopción de un sistema digital para la recepción, ordenamiento y verificación de expedientes (CV) de postulantes a procesos de selección de personal, en reemplazo de la entrega física en folder manila descrita en el comunicado vigente.</w:t>
      </w:r>
    </w:p>
    <w:p>
      <w:pPr>
        <w:pStyle w:val="Heading1"/>
        <w:spacing w:after="150" w:before="300"/>
      </w:pPr>
      <w:r>
        <w:t xml:space="preserve">2. Problemática identificada en el proceso actual</w:t>
      </w:r>
    </w:p>
    <w:p>
      <w:pPr>
        <w:pStyle w:val="ListParagraph"/>
        <w:numPr>
          <w:ilvl w:val="0"/>
          <w:numId w:val="1"/>
        </w:numPr>
        <w:spacing w:after="80"/>
      </w:pPr>
      <w:r>
        <w:t xml:space="preserve">Impacto ambiental: cada expediente firmado y foliado a mano de un postulante no apto o descalificado queda inutilizable como residuo de papel, sin posibilidad de reúso.</w:t>
      </w:r>
    </w:p>
    <w:p>
      <w:pPr>
        <w:pStyle w:val="ListParagraph"/>
        <w:numPr>
          <w:ilvl w:val="0"/>
          <w:numId w:val="1"/>
        </w:numPr>
        <w:spacing w:after="80"/>
      </w:pPr>
      <w:r>
        <w:t xml:space="preserve">Costo económico y de tiempo para el postulante: traslado físico a una sede única dentro de un horario y fechas fijas (27 de agosto al 14 de setiembre).</w:t>
      </w:r>
    </w:p>
    <w:p>
      <w:pPr>
        <w:pStyle w:val="ListParagraph"/>
        <w:numPr>
          <w:ilvl w:val="0"/>
          <w:numId w:val="1"/>
        </w:numPr>
        <w:spacing w:after="80"/>
      </w:pPr>
      <w:r>
        <w:t xml:space="preserve">Carga operativa para quien recepciona: verificación manual, hoja por hoja, del orden documental A-H y del folio correlativo "1/n".</w:t>
      </w:r>
    </w:p>
    <w:p>
      <w:pPr>
        <w:pStyle w:val="ListParagraph"/>
        <w:numPr>
          <w:ilvl w:val="0"/>
          <w:numId w:val="1"/>
        </w:numPr>
        <w:spacing w:after="80"/>
      </w:pPr>
      <w:r>
        <w:t xml:space="preserve">Riesgo de error humano no subsanable: una vez firmado y foliado con lapicero de tinta seca, un error invalida la hoja completa (no se aceptan enmendaduras ni corrector).</w:t>
      </w:r>
    </w:p>
    <w:p>
      <w:pPr>
        <w:pStyle w:val="Heading1"/>
        <w:spacing w:after="150" w:before="300"/>
      </w:pPr>
      <w:r>
        <w:t xml:space="preserve">3. Marco legal habilitante</w:t>
      </w:r>
    </w:p>
    <w:p>
      <w:pPr>
        <w:spacing w:after="150"/>
      </w:pPr>
      <w:r>
        <w:t xml:space="preserve">No se ha identificado, en la normativa nacional revisada, una prohibición para que este tipo de proceso se realice de forma remota, con almacenamiento en un servidor local o institucional. Por el contrario, la política de Gobierno Digital del Perú promueve activamente ese tránsito: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3000"/>
      </w:tblGrid>
      <w:tr>
        <w:tc>
          <w:tcPr>
            <w:tcW w:type="dxa" w:w="2600"/>
            <w:shd w:fill="1F4E79" w:val="clear"/>
          </w:tcPr>
          <w:p>
            <w:r>
              <w:rPr>
                <w:b/>
                <w:bCs/>
                <w:color w:val="FFFFFF"/>
                <w:sz w:val="20"/>
                <w:szCs w:val="20"/>
              </w:rPr>
              <w:t xml:space="preserve">Norma</w:t>
            </w:r>
          </w:p>
        </w:tc>
        <w:tc>
          <w:tcPr>
            <w:tcW w:type="dxa" w:w="4300"/>
            <w:shd w:fill="1F4E79" w:val="clear"/>
          </w:tcPr>
          <w:p>
            <w:r>
              <w:rPr>
                <w:b/>
                <w:bCs/>
                <w:color w:val="FFFFFF"/>
                <w:sz w:val="20"/>
                <w:szCs w:val="20"/>
              </w:rPr>
              <w:t xml:space="preserve">Contenido relevante</w:t>
            </w:r>
          </w:p>
        </w:tc>
        <w:tc>
          <w:tcPr>
            <w:tcW w:type="dxa" w:w="3000"/>
            <w:shd w:fill="1F4E79" w:val="clear"/>
          </w:tcPr>
          <w:p>
            <w:r>
              <w:rPr>
                <w:b/>
                <w:bCs/>
                <w:color w:val="FFFFFF"/>
                <w:sz w:val="20"/>
                <w:szCs w:val="20"/>
              </w:rPr>
              <w:t xml:space="preserve">Aplicación al proyecto</w:t>
            </w:r>
          </w:p>
        </w:tc>
      </w:tr>
      <w:tr>
        <w:tc>
          <w:tcPr>
            <w:tcW w:type="dxa" w:w="2600"/>
          </w:tcPr>
          <w:p>
            <w:r>
              <w:rPr>
                <w:b w:val="false"/>
                <w:bCs w:val="false"/>
                <w:color w:val="000000"/>
                <w:sz w:val="20"/>
                <w:szCs w:val="20"/>
              </w:rPr>
              <w:t xml:space="preserve">D.L. N° 1412, Ley de Gobierno Digital (2018)</w:t>
            </w:r>
          </w:p>
        </w:tc>
        <w:tc>
          <w:tcPr>
            <w:tcW w:type="dxa" w:w="4300"/>
          </w:tcPr>
          <w:p>
            <w:r>
              <w:rPr>
                <w:b w:val="false"/>
                <w:bCs w:val="false"/>
                <w:color w:val="000000"/>
                <w:sz w:val="20"/>
                <w:szCs w:val="20"/>
              </w:rPr>
              <w:t xml:space="preserve">Reconoce la identidad digital, la sede digital y el documento electrónico; crea el Código de Verificación Digital (CVD) como mecanismo de autenticidad.</w:t>
            </w:r>
          </w:p>
        </w:tc>
        <w:tc>
          <w:tcPr>
            <w:tcW w:type="dxa" w:w="3000"/>
          </w:tcPr>
          <w:p>
            <w:r>
              <w:rPr>
                <w:b w:val="false"/>
                <w:bCs w:val="false"/>
                <w:color w:val="000000"/>
                <w:sz w:val="20"/>
                <w:szCs w:val="20"/>
              </w:rPr>
              <w:t xml:space="preserve">Sustenta reemplazar la firma manuscrita y el folio físico por un CVD generado por el sistema.</w:t>
            </w:r>
          </w:p>
        </w:tc>
      </w:tr>
      <w:tr>
        <w:tc>
          <w:tcPr>
            <w:tcW w:type="dxa" w:w="2600"/>
          </w:tcPr>
          <w:p>
            <w:r>
              <w:rPr>
                <w:b w:val="false"/>
                <w:bCs w:val="false"/>
                <w:color w:val="000000"/>
                <w:sz w:val="20"/>
                <w:szCs w:val="20"/>
              </w:rPr>
              <w:t xml:space="preserve">D.S. N° 029-2021-PCM (Reglamento del D.L. 1412)</w:t>
            </w:r>
          </w:p>
        </w:tc>
        <w:tc>
          <w:tcPr>
            <w:tcW w:type="dxa" w:w="4300"/>
          </w:tcPr>
          <w:p>
            <w:r>
              <w:rPr>
                <w:b w:val="false"/>
                <w:bCs w:val="false"/>
                <w:color w:val="000000"/>
                <w:sz w:val="20"/>
                <w:szCs w:val="20"/>
              </w:rPr>
              <w:t xml:space="preserve">Art. 35.1: el documento electrónico tiene el mismo valor legal que el documento en soporte papel.</w:t>
            </w:r>
          </w:p>
        </w:tc>
        <w:tc>
          <w:tcPr>
            <w:tcW w:type="dxa" w:w="3000"/>
          </w:tcPr>
          <w:p>
            <w:r>
              <w:rPr>
                <w:b w:val="false"/>
                <w:bCs w:val="false"/>
                <w:color w:val="000000"/>
                <w:sz w:val="20"/>
                <w:szCs w:val="20"/>
              </w:rPr>
              <w:t xml:space="preserve">El expediente digital del postulante tiene la misma validez que el CV físico en folder manila.</w:t>
            </w:r>
          </w:p>
        </w:tc>
      </w:tr>
      <w:tr>
        <w:tc>
          <w:tcPr>
            <w:tcW w:type="dxa" w:w="2600"/>
          </w:tcPr>
          <w:p>
            <w:r>
              <w:rPr>
                <w:b w:val="false"/>
                <w:bCs w:val="false"/>
                <w:color w:val="000000"/>
                <w:sz w:val="20"/>
                <w:szCs w:val="20"/>
              </w:rPr>
              <w:t xml:space="preserve">TUO de la Ley N° 27444, Ley del Procedimiento Administrativo General</w:t>
            </w:r>
          </w:p>
        </w:tc>
        <w:tc>
          <w:tcPr>
            <w:tcW w:type="dxa" w:w="4300"/>
          </w:tcPr>
          <w:p>
            <w:r>
              <w:rPr>
                <w:b w:val="false"/>
                <w:bCs w:val="false"/>
                <w:color w:val="000000"/>
                <w:sz w:val="20"/>
                <w:szCs w:val="20"/>
              </w:rPr>
              <w:t xml:space="preserve">Art. IV núm. 1.7 y Art. 49: Principio de Presunción de Veracidad; admite declaración jurada del administrado, con verificación posterior.</w:t>
            </w:r>
          </w:p>
        </w:tc>
        <w:tc>
          <w:tcPr>
            <w:tcW w:type="dxa" w:w="3000"/>
          </w:tcPr>
          <w:p>
            <w:r>
              <w:rPr>
                <w:b w:val="false"/>
                <w:bCs w:val="false"/>
                <w:color w:val="000000"/>
                <w:sz w:val="20"/>
                <w:szCs w:val="20"/>
              </w:rPr>
              <w:t xml:space="preserve">Permite que el postulante declare bajo juramento la autenticidad de lo cargado, verificable después solo para los que avancen en el proceso.</w:t>
            </w:r>
          </w:p>
        </w:tc>
      </w:tr>
      <w:tr>
        <w:tc>
          <w:tcPr>
            <w:tcW w:type="dxa" w:w="2600"/>
          </w:tcPr>
          <w:p>
            <w:r>
              <w:rPr>
                <w:b w:val="false"/>
                <w:bCs w:val="false"/>
                <w:color w:val="000000"/>
                <w:sz w:val="20"/>
                <w:szCs w:val="20"/>
              </w:rPr>
              <w:t xml:space="preserve">Ley N° 27269, Ley de Firmas y Certificados Digitales</w:t>
            </w:r>
          </w:p>
        </w:tc>
        <w:tc>
          <w:tcPr>
            <w:tcW w:type="dxa" w:w="4300"/>
          </w:tcPr>
          <w:p>
            <w:r>
              <w:rPr>
                <w:b w:val="false"/>
                <w:bCs w:val="false"/>
                <w:color w:val="000000"/>
                <w:sz w:val="20"/>
                <w:szCs w:val="20"/>
              </w:rPr>
              <w:t xml:space="preserve">Da valor legal a la firma digital.</w:t>
            </w:r>
          </w:p>
        </w:tc>
        <w:tc>
          <w:tcPr>
            <w:tcW w:type="dxa" w:w="3000"/>
          </w:tcPr>
          <w:p>
            <w:r>
              <w:rPr>
                <w:b w:val="false"/>
                <w:bCs w:val="false"/>
                <w:color w:val="000000"/>
                <w:sz w:val="20"/>
                <w:szCs w:val="20"/>
              </w:rPr>
              <w:t xml:space="preserve">Sustenta una firma digital/CVD como sustituto de la firma física en tinta azul.</w:t>
            </w:r>
          </w:p>
        </w:tc>
      </w:tr>
      <w:tr>
        <w:tc>
          <w:tcPr>
            <w:tcW w:type="dxa" w:w="2600"/>
          </w:tcPr>
          <w:p>
            <w:r>
              <w:rPr>
                <w:b w:val="false"/>
                <w:bCs w:val="false"/>
                <w:color w:val="000000"/>
                <w:sz w:val="20"/>
                <w:szCs w:val="20"/>
              </w:rPr>
              <w:t xml:space="preserve">Ley N° 29733, Ley de Protección de Datos Personales, y su Reglamento</w:t>
            </w:r>
          </w:p>
        </w:tc>
        <w:tc>
          <w:tcPr>
            <w:tcW w:type="dxa" w:w="4300"/>
          </w:tcPr>
          <w:p>
            <w:r>
              <w:rPr>
                <w:b w:val="false"/>
                <w:bCs w:val="false"/>
                <w:color w:val="000000"/>
                <w:sz w:val="20"/>
                <w:szCs w:val="20"/>
              </w:rPr>
              <w:t xml:space="preserve">Exige medidas de seguridad para datos sensibles (DNI, datos académicos y laborales).</w:t>
            </w:r>
          </w:p>
        </w:tc>
        <w:tc>
          <w:tcPr>
            <w:tcW w:type="dxa" w:w="3000"/>
          </w:tcPr>
          <w:p>
            <w:r>
              <w:rPr>
                <w:b w:val="false"/>
                <w:bCs w:val="false"/>
                <w:color w:val="000000"/>
                <w:sz w:val="20"/>
                <w:szCs w:val="20"/>
              </w:rPr>
              <w:t xml:space="preserve">Obliga a alojar el sistema en servidor propio/local (institucional), con cifrado, y no en almacenamiento de terceros sin consentimiento y medidas idóneas.</w:t>
            </w:r>
          </w:p>
        </w:tc>
      </w:tr>
    </w:tbl>
    <w:p>
      <w:pPr>
        <w:spacing w:after="200"/>
      </w:pPr>
    </w:p>
    <w:p>
      <w:pPr>
        <w:pStyle w:val="Heading2"/>
        <w:spacing w:after="100" w:before="200"/>
      </w:pPr>
      <w:r>
        <w:t xml:space="preserve">3.1 Precedentes ya vigentes en el propio Estado peruano</w:t>
      </w:r>
    </w:p>
    <w:p>
      <w:pPr>
        <w:spacing w:after="150"/>
      </w:pPr>
      <w:r>
        <w:t xml:space="preserve">El propio Estado ya opera procesos 100% digitales de recepción de CV para convocatorias de personal, lo que confirma la viabilidad legal y operativa de este enfoque:</w:t>
      </w:r>
    </w:p>
    <w:p>
      <w:pPr>
        <w:pStyle w:val="ListParagraph"/>
        <w:numPr>
          <w:ilvl w:val="0"/>
          <w:numId w:val="1"/>
        </w:numPr>
        <w:spacing w:after="80"/>
      </w:pPr>
      <w:r>
        <w:t xml:space="preserve">Jurado Nacional de Elecciones (JNE): opera el "Sistema de Convocatorias" (seleccionpersonal.jne.gob.pe) y el SIRLOC, donde el postulante llena su información y declara, bajo el principio de presunción de veracidad del art. 49 del TUO de la Ley 27444, que los datos consignados son verdaderos, sujeto a verificación posterior por la Oficina de Recursos Humanos.</w:t>
      </w:r>
    </w:p>
    <w:p>
      <w:pPr>
        <w:pStyle w:val="ListParagraph"/>
        <w:numPr>
          <w:ilvl w:val="0"/>
          <w:numId w:val="1"/>
        </w:numPr>
        <w:spacing w:after="80"/>
      </w:pPr>
      <w:r>
        <w:t xml:space="preserve">Oficina Nacional de Procesos Electorales (ONPE): en sus convocatorias para procesos electorales 2026 (Elecciones Generales, Segunda Vuelta, Elecciones Regionales y Municipales), la postulación se realiza íntegramente en línea a través del sistema SIGLOC: el postulante se registra, adjunta su CV documentado y certificados en PDF, y confirma su postulación sin presentación física, salvo casos puntuales en que la propia base del concurso exija presencia física para la etapa de evaluación de conocimientos o entrevista.</w:t>
      </w:r>
    </w:p>
    <w:p>
      <w:pPr>
        <w:pStyle w:val="Heading2"/>
        <w:spacing w:after="100" w:before="200"/>
      </w:pPr>
      <w:r>
        <w:t xml:space="preserve">3.2 Condiciones que sí exige la norma para que el reemplazo sea válido</w:t>
      </w:r>
    </w:p>
    <w:p>
      <w:pPr>
        <w:pStyle w:val="ListParagraph"/>
        <w:numPr>
          <w:ilvl w:val="0"/>
          <w:numId w:val="1"/>
        </w:numPr>
        <w:spacing w:after="80"/>
      </w:pPr>
      <w:r>
        <w:t xml:space="preserve">Conservación de documentos electrónicos con sellos de tiempo y mecanismos que permitan verificar la vigencia del certificado digital (art. 19, D.L. 1412), si se decide usar firma digital certificada.</w:t>
      </w:r>
    </w:p>
    <w:p>
      <w:pPr>
        <w:pStyle w:val="ListParagraph"/>
        <w:numPr>
          <w:ilvl w:val="0"/>
          <w:numId w:val="1"/>
        </w:numPr>
        <w:spacing w:after="80"/>
      </w:pPr>
      <w:r>
        <w:t xml:space="preserve">Medidas de seguridad de la información proporcionales al riesgo, por tratarse de datos personales y, en algunos documentos, datos sensibles (Ley 29733 y su Reglamento).</w:t>
      </w:r>
    </w:p>
    <w:p>
      <w:pPr>
        <w:pStyle w:val="ListParagraph"/>
        <w:numPr>
          <w:ilvl w:val="0"/>
          <w:numId w:val="1"/>
        </w:numPr>
        <w:spacing w:after="80"/>
      </w:pPr>
      <w:r>
        <w:t xml:space="preserve">Que el documento electrónico sea verificable mediante un Código de Verificación Digital u otro mecanismo equivalente que sustituya a la firma y el folio manuscritos.</w:t>
      </w:r>
    </w:p>
    <w:p>
      <w:pPr>
        <w:pStyle w:val="Heading2"/>
        <w:spacing w:after="100" w:before="200"/>
      </w:pPr>
      <w:r>
        <w:t xml:space="preserve">3.3 Conclusión legal</w:t>
      </w:r>
    </w:p>
    <w:p>
      <w:pPr>
        <w:spacing w:after="150"/>
      </w:pPr>
      <w:r>
        <w:t xml:space="preserve">La exigencia de folder manila, firma manuscrita en tinta azul y foliado manual que aparece en el comunicado no proviene de una ley o norma superior, sino de una disposición administrativa de la unidad ejecutora del concurso. En consecuencia, puede ser reemplazada por un mecanismo digital equivalente en validez (firma/CVD, foliado automático, declaración jurada digital), siempre que el sistema garantice conservación, verificabilidad y seguridad de los datos, conforme al marco de Gobierno Digital vigente (D.L. N° 1412 y su Reglamento) y al principio de presunción de veracidad del TUO de la Ley N° 27444.</w:t>
      </w:r>
    </w:p>
    <w:p>
      <w:pPr>
        <w:pStyle w:val="Heading1"/>
        <w:spacing w:after="150" w:before="300"/>
      </w:pPr>
      <w:r>
        <w:t xml:space="preserve">4. Propuesta técnica resumida</w:t>
      </w:r>
    </w:p>
    <w:p>
      <w:pPr>
        <w:spacing w:after="150"/>
      </w:pPr>
      <w:r>
        <w:t xml:space="preserve">Sistema web (SIRE-CV) que replica el checklist documental A-H del comunicado en 8 espacios de carga independientes, genera automáticamente el foliado en el orden descendente exigido (numeral 6.3 del comunicado) y un Código de Verificación Digital por documento, recoge la declaración jurada del postulante, y entrega al personal evaluador un panel para revisar el expediente ordenado y registrar el cumplimiento del perfil, sin imprimir una sola hoja hasta que sea estrictamente necesario (por ejemplo, solo para los postulantes que ganen la plaza, si la entidad aún lo requiere para el legajo físico).</w:t>
      </w:r>
    </w:p>
    <w:p>
      <w:pPr>
        <w:spacing w:after="150"/>
      </w:pPr>
      <w:r>
        <w:t xml:space="preserve">El almacenamiento se plantea en servidor local o institucional (no en nube pública de terceros), en línea con lo señalado en la sección 3.2, para mantener el control directo de los datos personales de los postulantes.</w:t>
      </w:r>
    </w:p>
    <w:p>
      <w:pPr>
        <w:pStyle w:val="Heading1"/>
        <w:spacing w:after="150" w:before="300"/>
      </w:pPr>
      <w:r>
        <w:t xml:space="preserve">5. Beneficios esperados</w:t>
      </w:r>
    </w:p>
    <w:p>
      <w:pPr>
        <w:pStyle w:val="ListParagraph"/>
        <w:numPr>
          <w:ilvl w:val="0"/>
          <w:numId w:val="1"/>
        </w:numPr>
        <w:spacing w:after="80"/>
      </w:pPr>
      <w:r>
        <w:t xml:space="preserve">Reducción de consumo de papel y de residuos generados por expedientes de postulantes no aptos o descalificados.</w:t>
      </w:r>
    </w:p>
    <w:p>
      <w:pPr>
        <w:pStyle w:val="ListParagraph"/>
        <w:numPr>
          <w:ilvl w:val="0"/>
          <w:numId w:val="1"/>
        </w:numPr>
        <w:spacing w:after="80"/>
      </w:pPr>
      <w:r>
        <w:t xml:space="preserve">Eliminación del costo de traslado para el postulante.</w:t>
      </w:r>
    </w:p>
    <w:p>
      <w:pPr>
        <w:pStyle w:val="ListParagraph"/>
        <w:numPr>
          <w:ilvl w:val="0"/>
          <w:numId w:val="1"/>
        </w:numPr>
        <w:spacing w:after="80"/>
      </w:pPr>
      <w:r>
        <w:t xml:space="preserve">Trazabilidad completa (quién subió qué, cuándo, con qué hash) para el evaluador y para eventual fiscalización.</w:t>
      </w:r>
    </w:p>
    <w:p>
      <w:pPr>
        <w:pStyle w:val="ListParagraph"/>
        <w:numPr>
          <w:ilvl w:val="0"/>
          <w:numId w:val="1"/>
        </w:numPr>
        <w:spacing w:after="80"/>
      </w:pPr>
      <w:r>
        <w:t xml:space="preserve">Reducción del tiempo de verificación documental para el personal receptor.</w:t>
      </w:r>
    </w:p>
    <w:p>
      <w:pPr>
        <w:pStyle w:val="Heading1"/>
        <w:spacing w:after="150" w:before="300"/>
      </w:pPr>
      <w:r>
        <w:t xml:space="preserve">6. Siguiente paso propuesto</w:t>
      </w:r>
    </w:p>
    <w:p>
      <w:pPr>
        <w:spacing w:after="150"/>
      </w:pPr>
      <w:r>
        <w:t xml:space="preserve">Se solicita al INEI la evaluación técnica y legal de este sistema como piloto para el proceso de "Operador Tecnológico" del Concurso de Ascenso de Escala 2026, con miras a su eventual escalamiento a otros procesos de selección de personal en el sector público.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2026-09-11T17:00:21.293Z</dcterms:created>
  <dcterms:modified xsi:type="dcterms:W3CDTF">2026-09-11T17:00:21.294Z</dcterms:modified>
</cp:coreProperties>
</file>

<file path=docProps/custom.xml><?xml version="1.0" encoding="utf-8"?>
<Properties xmlns="http://schemas.openxmlformats.org/officeDocument/2006/custom-properties" xmlns:vt="http://schemas.openxmlformats.org/officeDocument/2006/docPropsVTypes"/>
</file>