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31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32"/>
                <w:szCs w:val="32"/>
              </w:rPr>
              <w:t xml:space="preserve">HealthLink Compass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28"/>
                <w:szCs w:val="28"/>
              </w:rPr>
              <w:t xml:space="preserve">  |  Demo Brief</w:t>
            </w:r>
          </w:p>
        </w:tc>
        <w:tc>
          <w:tcPr>
            <w:tcW w:type="dxa" w:w="4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6"/>
                <w:szCs w:val="16"/>
              </w:rPr>
              <w:t xml:space="preserve">Prospect: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Midwest Regional Health System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6"/>
                <w:szCs w:val="16"/>
              </w:rPr>
              <w:t xml:space="preserve">Clinical Sales Engineer: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Sunan Fatima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6"/>
                <w:szCs w:val="16"/>
              </w:rPr>
              <w:t xml:space="preserve">Strategic Account Executive: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Jordan Silver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6"/>
                <w:szCs w:val="16"/>
              </w:rPr>
              <w:t xml:space="preserve">Prepared on: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6"/>
                <w:szCs w:val="16"/>
              </w:rPr>
              <w:t xml:space="preserve">  Tuesday, May 5, 2026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Confidential — Internal Use Only</w:t>
            </w:r>
          </w:p>
        </w:tc>
      </w:tr>
    </w:tbl>
    <w:p>
      <w:pPr>
        <w:pBdr>
          <w:bottom w:val="single" w:color="0D6B6E" w:sz="8"/>
        </w:pBdr>
        <w:spacing w:after="36" w:before="20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PROSPECT PROFILE</w:t>
      </w:r>
    </w:p>
    <w:p>
      <w:pPr>
        <w:spacing w:after="16" w:before="1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B2D"/>
          <w:sz w:val="17"/>
          <w:szCs w:val="17"/>
        </w:rPr>
        <w:t xml:space="preserve">Midwest Regional Health 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3"/>
          <w:szCs w:val="13"/>
        </w:rPr>
        <w:t xml:space="preserve">  ·  2400 N. Lakeshore Drive, Chicago, IL 60657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2"/>
                <w:szCs w:val="12"/>
              </w:rPr>
              <w:t xml:space="preserve">SYSTEM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1,200 beds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Multi-site ambulatory + inpatient</w:t>
            </w:r>
          </w:p>
        </w:tc>
        <w:tc>
          <w:tcPr>
            <w:tcW w:type="dxa" w:w="3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2"/>
                <w:szCs w:val="12"/>
              </w:rPr>
              <w:t xml:space="preserve">PAYER MIX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Heavy Medicaid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Value-based care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Commercial supplement</w:t>
            </w:r>
          </w:p>
        </w:tc>
        <w:tc>
          <w:tcPr>
            <w:tcW w:type="dxa" w:w="3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2"/>
                <w:szCs w:val="12"/>
              </w:rPr>
              <w:t xml:space="preserve">CBO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Chicago Maternal Health Collective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" w:before="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Chicago Food Pantry Network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312"/>
      </w:tblGrid>
      <w:tr>
        <w:trPr>
          <w:tblHeader/>
        </w:trPr>
        <w:tc>
          <w:tcPr>
            <w:tcW w:type="dxa" w:w="62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SDOH PRIORITY</w:t>
            </w:r>
          </w:p>
        </w:tc>
        <w:tc>
          <w:tcPr>
            <w:tcW w:type="dxa" w:w="4312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IDENTIFIED VIA</w:t>
            </w:r>
          </w:p>
        </w:tc>
      </w:tr>
      <w:tr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Maternal Health Outcomes</w:t>
            </w:r>
          </w:p>
        </w:tc>
        <w:tc>
          <w:tcPr>
            <w:tcW w:type="dxa" w:w="4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CHNA</w:t>
            </w:r>
          </w:p>
        </w:tc>
      </w:tr>
      <w:tr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Food Insecurity</w:t>
            </w:r>
          </w:p>
        </w:tc>
        <w:tc>
          <w:tcPr>
            <w:tcW w:type="dxa" w:w="4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CHNA, Community Program Initiative</w:t>
            </w:r>
          </w:p>
        </w:tc>
      </w:tr>
      <w:tr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Transportation Barriers</w:t>
            </w:r>
          </w:p>
        </w:tc>
        <w:tc>
          <w:tcPr>
            <w:tcW w:type="dxa" w:w="4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CHNA, Quality Improvement Initiative</w:t>
            </w:r>
          </w:p>
        </w:tc>
      </w:tr>
      <w:tr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Preventable ER Utilization</w:t>
            </w:r>
          </w:p>
        </w:tc>
        <w:tc>
          <w:tcPr>
            <w:tcW w:type="dxa" w:w="4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Quality Improvement Initiative</w:t>
            </w:r>
          </w:p>
        </w:tc>
      </w:tr>
    </w:tbl>
    <w:p>
      <w:pPr>
        <w:spacing w:after="0" w:before="14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TECH SCOPE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12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EHR</w:t>
            </w:r>
          </w:p>
        </w:tc>
        <w:tc>
          <w:tcPr>
            <w:tcW w:type="dxa" w:w="75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SchempiCare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Security Assessment</w:t>
            </w:r>
          </w:p>
        </w:tc>
        <w:tc>
          <w:tcPr>
            <w:tcW w:type="dxa" w:w="75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Not completed — initial demo scheduled Thursday, May 7, 2026</w:t>
            </w:r>
          </w:p>
        </w:tc>
      </w:tr>
    </w:tbl>
    <w:p>
      <w:pPr>
        <w:spacing w:after="0" w:before="28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PRESENTATION ATTENDEES</w:t>
      </w:r>
    </w:p>
    <w:p>
      <w:pPr>
        <w:spacing w:after="0" w:before="16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900"/>
        <w:gridCol w:w="2612"/>
      </w:tblGrid>
      <w:tr>
        <w:trPr>
          <w:tblHeader/>
        </w:trPr>
        <w:tc>
          <w:tcPr>
            <w:tcW w:type="dxa" w:w="21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STAKEHOLDER</w:t>
            </w:r>
          </w:p>
        </w:tc>
        <w:tc>
          <w:tcPr>
            <w:tcW w:type="dxa" w:w="29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WHAT THEY CARE ABOUT</w:t>
            </w:r>
          </w:p>
        </w:tc>
        <w:tc>
          <w:tcPr>
            <w:tcW w:type="dxa" w:w="29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PAIN POINTS</w:t>
            </w:r>
          </w:p>
        </w:tc>
        <w:tc>
          <w:tcPr>
            <w:tcW w:type="dxa" w:w="2612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WIN CONDITION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Steve Gryglas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CMIO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Primary Buyer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Executive Stakeholder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Clinical workflow 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SchempiCare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&lt;3 min workflow to drive provider adoption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Patient safety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Referrals vanish after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Providers won't adopt tools that add friction</w:t>
            </w:r>
          </w:p>
        </w:tc>
        <w:tc>
          <w:tcPr>
            <w:tcW w:type="dxa" w:w="2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&lt;3 min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Native SchempiCare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Screener delegates pre-visit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Erin Kreider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VP, Population Health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Executive Stakeholder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Reduce readmissions tied to unmet social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VBC contract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Chronic condition management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No visibility into whether SDOH referrals improve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Can't attribute interventions to claims data</w:t>
            </w:r>
          </w:p>
        </w:tc>
        <w:tc>
          <w:tcPr>
            <w:tcW w:type="dxa" w:w="2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Measurable outcome data tied to claims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SDOH dashboard linked to VBC metrics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Christy Garuccio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VP, Clinical Informatics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IT Lead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Executive Stakeholder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SchempiCare integration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Usability &amp; scalability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Implementation timeline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Free-text SDOH data unusable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Prior integrations created IT debt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No structured Z-code capture</w:t>
            </w:r>
          </w:p>
        </w:tc>
        <w:tc>
          <w:tcPr>
            <w:tcW w:type="dxa" w:w="2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SMART on FHIR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Structured Z-codes write to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Phased rollout, low IT lift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Katherine Golarz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SDOH Program Director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2"/>
                <w:szCs w:val="12"/>
              </w:rPr>
              <w:t xml:space="preserve">Clinical Champion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Staff adoption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CBO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Change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Reduce manual burden on care teams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Providers overwhelmed by SDOH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Manual CBO tracking via spreadsheet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No confirmation referrals are acted on</w:t>
            </w:r>
          </w:p>
        </w:tc>
        <w:tc>
          <w:tcPr>
            <w:tcW w:type="dxa" w:w="2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56"/>
              <w:left w:type="dxa" w:w="90"/>
              <w:bottom w:type="dxa" w:w="56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Platform reduces manual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Surfaces only when relevant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No added clicks for providers</w:t>
            </w:r>
          </w:p>
        </w:tc>
      </w:tr>
    </w:tbl>
    <w:p>
      <w:pPr>
        <w:spacing w:after="0" w:before="28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PRODUCT OVERVIEW</w:t>
      </w:r>
    </w:p>
    <w:p>
      <w:pPr>
        <w:spacing w:after="0" w:before="1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5"/>
          <w:szCs w:val="15"/>
        </w:rPr>
        <w:t xml:space="preserve">Most health systems can identify social needs. Few can confirm they were resolved. HealthLink Compass closes that gap — extending SchempiCare to coordinate CBO referrals, track outcomes, and give care teams real visibility into whether interventions actually reached patients. This becomes especially important as health systems shift toward value-based care, where social factors directly impact outcomes and reimbursement.</w:t>
      </w:r>
    </w:p>
    <w:p>
      <w:pPr>
        <w:spacing w:after="0" w:before="14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4"/>
        <w:gridCol w:w="240"/>
        <w:gridCol w:w="3344"/>
        <w:gridCol w:w="240"/>
        <w:gridCol w:w="3344"/>
      </w:tblGrid>
      <w:tr>
        <w:tc>
          <w:tcPr>
            <w:tcW w:type="dxa" w:w="3344"/>
            <w:tcBorders>
              <w:top w:val="single" w:color="0D6B6E" w:sz="10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1"/>
                <w:szCs w:val="11"/>
              </w:rPr>
              <w:t xml:space="preserve">01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6"/>
                <w:szCs w:val="16"/>
              </w:rPr>
              <w:t xml:space="preserve">Identify Needs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Standardized SDOH screener embedded in SchempiCare — structured data, Z-codes, care team flags.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20"/>
                <w:szCs w:val="20"/>
              </w:rPr>
              <w:t xml:space="preserve">→</w:t>
            </w:r>
          </w:p>
        </w:tc>
        <w:tc>
          <w:tcPr>
            <w:tcW w:type="dxa" w:w="3344"/>
            <w:tcBorders>
              <w:top w:val="single" w:color="2D6A62" w:sz="10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62"/>
                <w:sz w:val="11"/>
                <w:szCs w:val="11"/>
              </w:rPr>
              <w:t xml:space="preserve">02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62"/>
                <w:sz w:val="16"/>
                <w:szCs w:val="16"/>
              </w:rPr>
              <w:t xml:space="preserve">Refer Resources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Live CBO directory with closed-loop referral routing — patient confirmed, status tracked in chart.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20"/>
                <w:szCs w:val="20"/>
              </w:rPr>
              <w:t xml:space="preserve">→</w:t>
            </w:r>
          </w:p>
        </w:tc>
        <w:tc>
          <w:tcPr>
            <w:tcW w:type="dxa" w:w="3344"/>
            <w:tcBorders>
              <w:top w:val="single" w:color="1C2B2D" w:sz="10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1"/>
                <w:szCs w:val="11"/>
              </w:rPr>
              <w:t xml:space="preserve">03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6"/>
                <w:szCs w:val="16"/>
              </w:rPr>
              <w:t xml:space="preserve">Track Outcomes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Network Champion closes the loop — 30-day follow-up, resolution rates, ROI in HealthInsights Portal.</w:t>
            </w:r>
          </w:p>
        </w:tc>
      </w:tr>
    </w:tbl>
    <w:p>
      <w:r>
        <w:br w:type="pag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PRODUCT FIT MATRIX</w:t>
      </w:r>
    </w:p>
    <w:p>
      <w:pPr>
        <w:spacing w:after="0" w:before="24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3612"/>
      </w:tblGrid>
      <w:tr>
        <w:trPr>
          <w:tblHeader/>
        </w:trPr>
        <w:tc>
          <w:tcPr>
            <w:tcW w:type="dxa" w:w="30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THE CHALLENGE</w:t>
            </w:r>
          </w:p>
        </w:tc>
        <w:tc>
          <w:tcPr>
            <w:tcW w:type="dxa" w:w="3900"/>
            <w:tcBorders>
              <w:top w:val="single" w:color="0D6B6E" w:sz="1"/>
              <w:left w:val="single" w:color="0D6B6E" w:sz="1"/>
              <w:bottom w:val="single" w:color="0D6B6E" w:sz="1"/>
              <w:right w:val="single" w:color="0D6B6E" w:sz="1"/>
            </w:tcBorders>
            <w:shd w:fill="0D6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HEALTHLINK COMPASS ADDRESSES IT BY…</w:t>
            </w:r>
          </w:p>
        </w:tc>
        <w:tc>
          <w:tcPr>
            <w:tcW w:type="dxa" w:w="3612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VALUE ADD  ·  STAKEHOLDER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Referrals sent with no confirmation of receipt or delivery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Network Champions embedded in CBOs confirm intake and close the loop — removing manual follow-up for care teams and updating status directly in SchempiCare</w:t>
            </w:r>
          </w:p>
        </w:tc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Clinical: Care team knows the referral landed  ·  Operational: Eliminates SW manual tracking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3"/>
                <w:szCs w:val="13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Gryglas, Golarz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SDOH assessments inconsistent — paper in ED, limited SchempiCare module outpatient only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Standardized screener (3 modes: in-visit, device, patient-initiated) writes structured Z-codes to SchempiCare — replacing paper and eliminating dual documentation</w:t>
            </w:r>
          </w:p>
        </w:tc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Clinical: Consistent, structured SDOH data across all sites  ·  Operational: Single workflow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3"/>
                <w:szCs w:val="13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Gryglas, Garuccio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No outcome measurement — can't report ROI or demonstrate VBC performance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30-day follow-up surveys + SchempiCare claims data generate resolution rates and outcome scores — producing board-ready numbers tied to VBC contracts</w:t>
            </w:r>
          </w:p>
        </w:tc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Financial: Quantifiable ROI for payers and board  ·  Operational: VBC reporting enabled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3"/>
                <w:szCs w:val="13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Garuccio, Kreider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No population-level visibility into screening rates or provider activity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HealthInsights Portal delivers real-time screening rates, referral volume, resolution rates, and provider activity — all in one dashboard without leaving SchempiCare</w:t>
            </w:r>
          </w:p>
        </w:tc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Operational: System-level QI accountability  ·  Financial: Community benefit documentation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B6E"/>
                <w:sz w:val="13"/>
                <w:szCs w:val="13"/>
              </w:rPr>
              <w:t xml:space="preserve">→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3"/>
                <w:szCs w:val="13"/>
              </w:rPr>
              <w:t xml:space="preserve">Kreider, Garuccio</w:t>
            </w:r>
          </w:p>
        </w:tc>
      </w:tr>
    </w:tbl>
    <w:p>
      <w:pPr>
        <w:spacing w:after="0" w:before="32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HOW WE COMPARE</w:t>
      </w:r>
    </w:p>
    <w:p>
      <w:pPr>
        <w:spacing w:after="0" w:before="2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56"/>
              <w:left w:type="dxa" w:w="160"/>
              <w:bottom w:type="dxa" w:w="56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Prep 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Midwest Regional uses paper-based SDOH assessments in the ED and SchempiCare's native SDOH module for outpatient visits only. No closed-loop referral tracking exists in either workflow.</w:t>
            </w:r>
          </w:p>
        </w:tc>
      </w:tr>
    </w:tbl>
    <w:p>
      <w:pPr>
        <w:spacing w:after="0" w:before="24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1725"/>
        <w:gridCol w:w="1725"/>
        <w:gridCol w:w="1725"/>
        <w:gridCol w:w="1725"/>
      </w:tblGrid>
      <w:tr>
        <w:trPr>
          <w:tblHeader/>
        </w:trPr>
        <w:tc>
          <w:tcPr>
            <w:tcW w:type="dxa" w:w="3612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1725"/>
            <w:tcBorders>
              <w:top w:val="single" w:color="0D6B6E" w:sz="1"/>
              <w:left w:val="single" w:color="0D6B6E" w:sz="1"/>
              <w:bottom w:val="single" w:color="0D6B6E" w:sz="1"/>
              <w:right w:val="single" w:color="0D6B6E" w:sz="1"/>
            </w:tcBorders>
            <w:shd w:fill="0D6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HealthLink
Compass</w:t>
            </w:r>
          </w:p>
        </w:tc>
        <w:tc>
          <w:tcPr>
            <w:tcW w:type="dxa" w:w="1725"/>
            <w:tcBorders>
              <w:top w:val="single" w:color="0D6B6E" w:sz="1"/>
              <w:left w:val="single" w:color="0D6B6E" w:sz="1"/>
              <w:bottom w:val="single" w:color="0D6B6E" w:sz="1"/>
              <w:right w:val="single" w:color="0D6B6E" w:sz="1"/>
            </w:tcBorders>
            <w:shd w:fill="0D6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Unite Us</w:t>
            </w:r>
          </w:p>
        </w:tc>
        <w:tc>
          <w:tcPr>
            <w:tcW w:type="dxa" w:w="1725"/>
            <w:tcBorders>
              <w:top w:val="single" w:color="0D6B6E" w:sz="1"/>
              <w:left w:val="single" w:color="0D6B6E" w:sz="1"/>
              <w:bottom w:val="single" w:color="0D6B6E" w:sz="1"/>
              <w:right w:val="single" w:color="0D6B6E" w:sz="1"/>
            </w:tcBorders>
            <w:shd w:fill="0D6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Findhelp</w:t>
            </w:r>
          </w:p>
        </w:tc>
        <w:tc>
          <w:tcPr>
            <w:tcW w:type="dxa" w:w="1725"/>
            <w:tcBorders>
              <w:top w:val="single" w:color="0D6B6E" w:sz="1"/>
              <w:left w:val="single" w:color="0D6B6E" w:sz="1"/>
              <w:bottom w:val="single" w:color="0D6B6E" w:sz="1"/>
              <w:right w:val="single" w:color="0D6B6E" w:sz="1"/>
            </w:tcBorders>
            <w:shd w:fill="0D6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SchempiCare
Native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Closed-loop referral confirmation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Native EHR embed (SMART on FHIR)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Embedded CBO manager (Network Champion)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Patient-reported outcome surveys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Provider ↔ CBO in-platform messaging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Population-level outcomes dashboard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36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B2D"/>
                <w:sz w:val="14"/>
                <w:szCs w:val="14"/>
              </w:rPr>
              <w:t xml:space="preserve">Under 3-min clinical workflow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4"/>
                <w:szCs w:val="14"/>
              </w:rPr>
              <w:t xml:space="preserve">✗</w:t>
            </w:r>
          </w:p>
        </w:tc>
        <w:tc>
          <w:tcPr>
            <w:tcW w:type="dxa" w:w="17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4"/>
                <w:szCs w:val="14"/>
              </w:rPr>
              <w:t xml:space="preserve">✓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3"/>
                <w:szCs w:val="13"/>
              </w:rPr>
              <w:t xml:space="preserve">Market context: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3"/>
                <w:szCs w:val="13"/>
              </w:rPr>
              <w:t xml:space="preserve">Unite Us acquired NowPow (2021). Findhelp is the rebrand of Aunt Bertha (2021). Two scaled competitors remain: Unite Us (closed-loop, large health systems) and Findhelp (#1 KLAS-rated SDoH network). Neither embeds a human resolution layer at the CBO — HealthLink Compass's sole differentiator.</w:t>
            </w:r>
          </w:p>
        </w:tc>
      </w:tr>
    </w:tbl>
    <w:p>
      <w:pPr>
        <w:spacing w:after="0" w:before="32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DEMO PLAN</w:t>
      </w:r>
    </w:p>
    <w:p>
      <w:pPr>
        <w:spacing w:after="0" w:before="16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712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Demo Presented By</w:t>
            </w:r>
          </w:p>
        </w:tc>
        <w:tc>
          <w:tcPr>
            <w:tcW w:type="dxa" w:w="77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Sunan Fatima, Clinical Sales Engineer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Demo Site</w:t>
            </w:r>
          </w:p>
        </w:tc>
        <w:tc>
          <w:tcPr>
            <w:tcW w:type="dxa" w:w="77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Custom demo environment built for Midwest Regional Health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Demo Objective</w:t>
            </w:r>
          </w:p>
        </w:tc>
        <w:tc>
          <w:tcPr>
            <w:tcW w:type="dxa" w:w="77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Demonstrate how HealthLink Compass closes the SDOH loop — from structured assessment to confirmed resolution — with measurable outcomes tied to Midwest Regional's priorities.</w:t>
            </w:r>
          </w:p>
        </w:tc>
      </w:tr>
    </w:tbl>
    <w:p>
      <w:pPr>
        <w:spacing w:after="0" w:before="16"/>
      </w:pPr>
      <w:r>
        <w:t xml:space="preserve"/>
      </w:r>
    </w:p>
    <w:p>
      <w:pPr>
        <w:pBdr>
          <w:bottom w:val="single" w:color="0D6B6E" w:sz="6" w:space="3"/>
        </w:pBdr>
        <w:spacing w:after="36" w:before="70"/>
      </w:pPr>
      <w:r>
        <w:rPr>
          <w:rFonts w:ascii="Arial" w:cs="Arial" w:eastAsia="Arial" w:hAnsi="Arial"/>
          <w:b/>
          <w:bCs/>
          <w:i w:val="false"/>
          <w:iCs w:val="false"/>
          <w:color w:val="0D6B6E"/>
          <w:sz w:val="15"/>
          <w:szCs w:val="15"/>
        </w:rPr>
        <w:t xml:space="preserve">DEMO FLOW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300"/>
        <w:gridCol w:w="7572"/>
      </w:tblGrid>
      <w:tr>
        <w:trPr>
          <w:tblHeader/>
        </w:trPr>
        <w:tc>
          <w:tcPr>
            <w:tcW w:type="dxa" w:w="64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300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7572"/>
            <w:tcBorders>
              <w:top w:val="single" w:color="1C2B2D" w:sz="1"/>
              <w:left w:val="single" w:color="1C2B2D" w:sz="1"/>
              <w:bottom w:val="single" w:color="1C2B2D" w:sz="1"/>
              <w:right w:val="single" w:color="1C2B2D" w:sz="1"/>
            </w:tcBorders>
            <w:shd w:fill="1C2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WHAT TO SHOW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SDOH Assessment</w:t>
            </w:r>
          </w:p>
        </w:tc>
        <w:tc>
          <w:tcPr>
            <w:tcW w:type="dxa" w:w="75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Embedded SchempiCare screener — 3 modes (in-visit, device, patient-initiated). Z-code write-back to chart.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Refer to Resources</w:t>
            </w:r>
          </w:p>
        </w:tc>
        <w:tc>
          <w:tcPr>
            <w:tcW w:type="dxa" w:w="75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From identified need, navigate CBO directory. Filter by fee, proximity, language. Send closed-loop referral to Chicago Food Pantry Network.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Closed-Loop Workflow</w:t>
            </w:r>
          </w:p>
        </w:tc>
        <w:tc>
          <w:tcPr>
            <w:tcW w:type="dxa" w:w="75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Referrals tab: sent → accepted → delivered → closed in SchempiCare. Provider ↔ CBO Network Champion messaging inside chart.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6B6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D"/>
                <w:sz w:val="14"/>
                <w:szCs w:val="14"/>
              </w:rPr>
              <w:t xml:space="preserve">Data &amp; Dashboards</w:t>
            </w:r>
          </w:p>
        </w:tc>
        <w:tc>
          <w:tcPr>
            <w:tcW w:type="dxa" w:w="75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4"/>
                <w:szCs w:val="14"/>
              </w:rPr>
              <w:t xml:space="preserve">HealthInsights Portal: org-level screening rate, referral volume, resolution rate, 30-day outcomes. Network view: CBO performance by partner. Tie to CHNA priorities.</w:t>
            </w:r>
          </w:p>
        </w:tc>
      </w:tr>
    </w:tbl>
    <w:p>
      <w:pPr>
        <w:spacing w:after="0" w:before="56"/>
      </w:pPr>
      <w:r>
        <w:t xml:space="preserve"/>
      </w:r>
    </w:p>
    <w:p>
      <w:pPr>
        <w:pBdr>
          <w:top w:val="single" w:color="D1D5DB" w:sz="4"/>
        </w:pBdr>
        <w:tabs>
          <w:tab w:val="right" w:pos="10512"/>
        </w:tabs>
        <w:spacing w:after="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4"/>
          <w:szCs w:val="14"/>
        </w:rPr>
        <w:t xml:space="preserve">HealthLink Compass  ·  Demo Brief  ·  Sunan Fatima  ·  May 5, 2026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4"/>
          <w:szCs w:val="14"/>
        </w:rPr>
        <w:t xml:space="preserve">All names, data, and organizations are fictional — created for this mock demo.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2026-05-05T19:11:21.972Z</dcterms:created>
  <dcterms:modified xsi:type="dcterms:W3CDTF">2026-05-05T19:11:21.972Z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