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8EB06" w14:textId="73C746F8" w:rsidR="00564F1C" w:rsidRPr="00EF795D" w:rsidRDefault="00564F1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95D">
        <w:rPr>
          <w:rFonts w:ascii="Times New Roman" w:hAnsi="Times New Roman" w:cs="Times New Roman" w:hint="eastAsia"/>
          <w:sz w:val="24"/>
          <w:szCs w:val="24"/>
        </w:rPr>
        <w:t>Att</w:t>
      </w:r>
      <w:r w:rsidRPr="00EF795D">
        <w:rPr>
          <w:rFonts w:ascii="Times New Roman" w:hAnsi="Times New Roman" w:cs="Times New Roman"/>
          <w:sz w:val="24"/>
          <w:szCs w:val="24"/>
        </w:rPr>
        <w:t>ribution analysis using the Budyko method</w:t>
      </w:r>
    </w:p>
    <w:p w14:paraId="5C35EBC5" w14:textId="124FA552" w:rsidR="00C9712F" w:rsidRDefault="00564F1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95D">
        <w:rPr>
          <w:rFonts w:ascii="Times New Roman" w:hAnsi="Times New Roman" w:cs="Times New Roman"/>
          <w:sz w:val="24"/>
          <w:szCs w:val="24"/>
        </w:rPr>
        <w:t>Based on the Budyko hypothesis,</w:t>
      </w:r>
      <w:r w:rsidR="00C9712F">
        <w:rPr>
          <w:rFonts w:ascii="Times New Roman" w:hAnsi="Times New Roman" w:cs="Times New Roman"/>
          <w:sz w:val="24"/>
          <w:szCs w:val="24"/>
        </w:rPr>
        <w:t xml:space="preserve"> </w:t>
      </w:r>
      <w:r w:rsidRPr="00EF795D">
        <w:rPr>
          <w:rFonts w:ascii="Times New Roman" w:hAnsi="Times New Roman" w:cs="Times New Roman"/>
          <w:sz w:val="24"/>
          <w:szCs w:val="24"/>
        </w:rPr>
        <w:t xml:space="preserve">the analytical water-energy balance equation </w:t>
      </w:r>
      <w:r w:rsidR="00C9712F">
        <w:rPr>
          <w:rFonts w:ascii="Times New Roman" w:hAnsi="Times New Roman" w:cs="Times New Roman"/>
          <w:sz w:val="24"/>
          <w:szCs w:val="24"/>
        </w:rPr>
        <w:t xml:space="preserve">is </w:t>
      </w:r>
      <w:r w:rsidR="00C9712F" w:rsidRPr="00EF795D">
        <w:rPr>
          <w:rFonts w:ascii="Times New Roman" w:hAnsi="Times New Roman" w:cs="Times New Roman"/>
          <w:sz w:val="24"/>
          <w:szCs w:val="24"/>
        </w:rPr>
        <w:t>derived</w:t>
      </w:r>
      <w:r w:rsidR="00C9712F" w:rsidRPr="00EF795D">
        <w:rPr>
          <w:rFonts w:ascii="Times New Roman" w:hAnsi="Times New Roman" w:cs="Times New Roman"/>
          <w:sz w:val="24"/>
          <w:szCs w:val="24"/>
        </w:rPr>
        <w:t xml:space="preserve"> </w:t>
      </w:r>
      <w:r w:rsidRPr="00EF795D">
        <w:rPr>
          <w:rFonts w:ascii="Times New Roman" w:hAnsi="Times New Roman" w:cs="Times New Roman"/>
          <w:sz w:val="24"/>
          <w:szCs w:val="24"/>
        </w:rPr>
        <w:t>at the mean annual time scale, which is expressed as:</w:t>
      </w:r>
    </w:p>
    <w:p w14:paraId="4223A401" w14:textId="6C579CD1" w:rsidR="00C9712F" w:rsidRPr="00C9712F" w:rsidRDefault="00C9712F" w:rsidP="00EF795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 w:hint="eastAsia"/>
                  <w:sz w:val="24"/>
                  <w:szCs w:val="24"/>
                </w:rPr>
                <m:t>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P×PET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PET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e>
          </m:eqArr>
        </m:oMath>
      </m:oMathPara>
    </w:p>
    <w:p w14:paraId="7A9BF349" w14:textId="644EDDFD" w:rsidR="00C9712F" w:rsidRDefault="00564F1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95D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 w:hint="eastAsia"/>
            <w:sz w:val="24"/>
            <w:szCs w:val="24"/>
          </w:rPr>
          <m:t>E</m:t>
        </m:r>
      </m:oMath>
      <w:r w:rsidRPr="00EF795D">
        <w:rPr>
          <w:rFonts w:ascii="Times New Roman" w:hAnsi="Times New Roman" w:cs="Times New Roman"/>
          <w:sz w:val="24"/>
          <w:szCs w:val="24"/>
        </w:rPr>
        <w:t xml:space="preserve"> is the mean annual actual evapotranspiration,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="00C9712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EF795D">
        <w:rPr>
          <w:rFonts w:ascii="Times New Roman" w:hAnsi="Times New Roman" w:cs="Times New Roman"/>
          <w:sz w:val="24"/>
          <w:szCs w:val="24"/>
        </w:rPr>
        <w:t xml:space="preserve">is the mean annual precipitation, </w:t>
      </w:r>
      <m:oMath>
        <m:r>
          <w:rPr>
            <w:rFonts w:ascii="Cambria Math" w:hAnsi="Cambria Math" w:cs="Times New Roman"/>
            <w:sz w:val="24"/>
            <w:szCs w:val="24"/>
          </w:rPr>
          <m:t>PET</m:t>
        </m:r>
      </m:oMath>
      <w:r w:rsidRPr="00EF795D">
        <w:rPr>
          <w:rFonts w:ascii="Times New Roman" w:hAnsi="Times New Roman" w:cs="Times New Roman"/>
          <w:sz w:val="24"/>
          <w:szCs w:val="24"/>
        </w:rPr>
        <w:t xml:space="preserve"> is the mean annual potential evapotranspiration, which is calculated following the guidelines provided by the Food and Agriculture Organization, and the parameter n represents the basin landscape characteristics, which include properties of soil, topography, and vegetation. </w:t>
      </w:r>
    </w:p>
    <w:p w14:paraId="6221217A" w14:textId="77777777" w:rsidR="00C9712F" w:rsidRDefault="00564F1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95D">
        <w:rPr>
          <w:rFonts w:ascii="Times New Roman" w:hAnsi="Times New Roman" w:cs="Times New Roman"/>
          <w:sz w:val="24"/>
          <w:szCs w:val="24"/>
        </w:rPr>
        <w:t xml:space="preserve">Assuming negligible changes in terrestrial water storage and combining the long-term basin water balance with equation </w:t>
      </w:r>
      <w:r w:rsidR="00C9712F">
        <w:rPr>
          <w:rFonts w:ascii="Times New Roman" w:hAnsi="Times New Roman" w:cs="Times New Roman"/>
          <w:sz w:val="24"/>
          <w:szCs w:val="24"/>
        </w:rPr>
        <w:t>(1)</w:t>
      </w:r>
      <w:r w:rsidRPr="00EF795D">
        <w:rPr>
          <w:rFonts w:ascii="Times New Roman" w:hAnsi="Times New Roman" w:cs="Times New Roman"/>
          <w:sz w:val="24"/>
          <w:szCs w:val="24"/>
        </w:rPr>
        <w:t>, we obtain:</w:t>
      </w:r>
    </w:p>
    <w:p w14:paraId="678E1470" w14:textId="50B30B64" w:rsidR="00877EC3" w:rsidRPr="00877EC3" w:rsidRDefault="00877EC3" w:rsidP="00EF795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 w:hint="eastAsia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=P-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P×PET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PET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d>
            </m:e>
          </m:eqArr>
        </m:oMath>
      </m:oMathPara>
    </w:p>
    <w:p w14:paraId="5BEECAD8" w14:textId="54FF0628" w:rsidR="00C9712F" w:rsidRDefault="00564F1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95D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 w:hint="eastAsia"/>
                <w:sz w:val="24"/>
                <w:szCs w:val="24"/>
              </w:rPr>
              <m:t>n</m:t>
            </m:r>
          </m:sub>
        </m:sSub>
      </m:oMath>
      <w:r w:rsidRPr="00EF795D">
        <w:rPr>
          <w:rFonts w:ascii="Times New Roman" w:hAnsi="Times New Roman" w:cs="Times New Roman"/>
          <w:sz w:val="24"/>
          <w:szCs w:val="24"/>
        </w:rPr>
        <w:t xml:space="preserve"> is the mean annual naturalized </w:t>
      </w:r>
      <w:proofErr w:type="gramStart"/>
      <w:r w:rsidRPr="00EF795D">
        <w:rPr>
          <w:rFonts w:ascii="Times New Roman" w:hAnsi="Times New Roman" w:cs="Times New Roman"/>
          <w:sz w:val="24"/>
          <w:szCs w:val="24"/>
        </w:rPr>
        <w:t>streamflow.</w:t>
      </w:r>
      <w:proofErr w:type="gramEnd"/>
    </w:p>
    <w:p w14:paraId="28570D06" w14:textId="77777777" w:rsidR="005456C8" w:rsidRDefault="00564F1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95D">
        <w:rPr>
          <w:rFonts w:ascii="Times New Roman" w:hAnsi="Times New Roman" w:cs="Times New Roman"/>
          <w:sz w:val="24"/>
          <w:szCs w:val="24"/>
        </w:rPr>
        <w:t xml:space="preserve">Assuming P, PET, and n are independent variables and introducing the concept of </w:t>
      </w:r>
    </w:p>
    <w:p w14:paraId="32B89E1D" w14:textId="0EDF51F0" w:rsidR="00C9712F" w:rsidRDefault="00564F1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95D">
        <w:rPr>
          <w:rFonts w:ascii="Times New Roman" w:hAnsi="Times New Roman" w:cs="Times New Roman"/>
          <w:sz w:val="24"/>
          <w:szCs w:val="24"/>
        </w:rPr>
        <w:t>elasticity, we obtain the following:</w:t>
      </w:r>
    </w:p>
    <w:p w14:paraId="0B6219F9" w14:textId="4D8B1CAE" w:rsidR="00877EC3" w:rsidRPr="00877EC3" w:rsidRDefault="00877EC3" w:rsidP="00EF795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dP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P</m:t>
                  </m:r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PET</m:t>
                  </m:r>
                </m:sub>
              </m:sSub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dPET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PET</m:t>
                  </m:r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</m:t>
                  </m:r>
                </m:sub>
              </m:sSub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dn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3</m:t>
                  </m:r>
                </m:e>
              </m:d>
            </m:e>
          </m:eqArr>
        </m:oMath>
      </m:oMathPara>
    </w:p>
    <w:p w14:paraId="2B5B8033" w14:textId="67490538" w:rsidR="00877EC3" w:rsidRPr="00877EC3" w:rsidRDefault="00877EC3" w:rsidP="00EF795D">
      <w:pPr>
        <w:spacing w:line="360" w:lineRule="auto"/>
        <w:rPr>
          <w:rFonts w:ascii="Cambria Math" w:hAnsi="Cambria Math" w:cs="Cambria Math" w:hint="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</m:e>
                  </m:eqArr>
                </m:num>
                <m:den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P</m:t>
                      </m:r>
                    </m:den>
                  </m:f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PET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PET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+1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PET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PET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4</m:t>
                  </m:r>
                </m:e>
              </m:d>
            </m:e>
          </m:eqArr>
        </m:oMath>
      </m:oMathPara>
    </w:p>
    <w:p w14:paraId="779BD3D2" w14:textId="6865C648" w:rsidR="00877EC3" w:rsidRPr="00877EC3" w:rsidRDefault="00877EC3" w:rsidP="00EF795D">
      <w:pPr>
        <w:spacing w:line="360" w:lineRule="auto"/>
        <w:rPr>
          <w:rFonts w:ascii="Cambria Math" w:hAnsi="Cambria Math" w:cs="Cambria Math" w:hint="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PET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dPET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PET</m:t>
                      </m:r>
                    </m:den>
                  </m:f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PET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PET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PET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Cambria Math"/>
                                              <w:sz w:val="24"/>
                                              <w:szCs w:val="24"/>
                                            </w:rPr>
                                            <m:t>P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5</m:t>
                  </m:r>
                </m:e>
              </m:d>
            </m:e>
          </m:eqArr>
        </m:oMath>
      </m:oMathPara>
    </w:p>
    <w:p w14:paraId="32119DD3" w14:textId="3F13591F" w:rsidR="00877EC3" w:rsidRPr="00877EC3" w:rsidRDefault="00877EC3" w:rsidP="00EF795D">
      <w:pPr>
        <w:spacing w:line="360" w:lineRule="auto"/>
        <w:rPr>
          <w:rFonts w:ascii="Cambria Math" w:hAnsi="Cambria Math" w:cs="Cambria Math" w:hint="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dn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P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Cambria Math"/>
                                          <w:sz w:val="24"/>
                                          <w:szCs w:val="24"/>
                                        </w:rPr>
                                        <m:t>PET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-1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ln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PET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ln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PET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PET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PET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6</m:t>
                  </m:r>
                </m:e>
              </m:d>
            </m:e>
          </m:eqArr>
        </m:oMath>
      </m:oMathPara>
    </w:p>
    <w:p w14:paraId="581ED264" w14:textId="23DEB4CA" w:rsidR="00877EC3" w:rsidRDefault="00564F1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95D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P</m:t>
            </m:r>
          </m:sub>
        </m:sSub>
      </m:oMath>
      <w:r w:rsidRPr="00EF795D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P</m:t>
            </m:r>
            <m:r>
              <w:rPr>
                <w:rFonts w:ascii="Cambria Math" w:hAnsi="Cambria Math" w:cs="Cambria Math" w:hint="eastAsia"/>
                <w:sz w:val="24"/>
                <w:szCs w:val="24"/>
              </w:rPr>
              <m:t>ET</m:t>
            </m:r>
          </m:sub>
        </m:sSub>
      </m:oMath>
      <w:r w:rsidRPr="00EF795D">
        <w:rPr>
          <w:rFonts w:ascii="Times New Roman" w:hAnsi="Times New Roman" w:cs="Times New Roman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</m:sub>
        </m:sSub>
      </m:oMath>
      <w:r w:rsidRPr="00EF795D">
        <w:rPr>
          <w:rFonts w:ascii="Times New Roman" w:hAnsi="Times New Roman" w:cs="Times New Roman"/>
          <w:sz w:val="24"/>
          <w:szCs w:val="24"/>
        </w:rPr>
        <w:t xml:space="preserve"> represent P, PET, and n elasticity of streamflow, respectively. Based on equation (3), Budyko-simulated changes in naturalized streamflow (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acc>
      </m:oMath>
      <w:r w:rsidRPr="00EF795D">
        <w:rPr>
          <w:rFonts w:ascii="Times New Roman" w:hAnsi="Times New Roman" w:cs="Times New Roman"/>
          <w:sz w:val="24"/>
          <w:szCs w:val="24"/>
        </w:rPr>
        <w:t>) can be attributed to the CCV-induced change (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n,CVV</m:t>
            </m:r>
          </m:sub>
        </m:sSub>
      </m:oMath>
      <w:r w:rsidRPr="00EF795D">
        <w:rPr>
          <w:rFonts w:ascii="Times New Roman" w:hAnsi="Times New Roman" w:cs="Times New Roman"/>
          <w:sz w:val="24"/>
          <w:szCs w:val="24"/>
        </w:rPr>
        <w:t>) and the LUCC-induced change (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n,LUCC</m:t>
            </m:r>
          </m:sub>
        </m:sSub>
      </m:oMath>
      <w:r w:rsidRPr="00EF795D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50D20CAE" w14:textId="253D4C0D" w:rsidR="00D23DAC" w:rsidRPr="00D23DAC" w:rsidRDefault="00D23DAC" w:rsidP="00EF795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微软雅黑" w:hAnsi="Cambria Math" w:cs="Times New Roman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="微软雅黑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eastAsia="微软雅黑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微软雅黑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微软雅黑" w:hAnsi="Cambria Math" w:cs="Times New Roman" w:hint="eastAsia"/>
                      <w:sz w:val="24"/>
                      <w:szCs w:val="24"/>
                    </w:rPr>
                    <m:t>P</m:t>
                  </m:r>
                </m:den>
              </m:f>
              <m:r>
                <w:rPr>
                  <w:rFonts w:ascii="Cambria Math" w:eastAsia="微软雅黑" w:hAnsi="Cambria Math" w:cs="Times New Roman"/>
                  <w:sz w:val="24"/>
                  <w:szCs w:val="24"/>
                </w:rPr>
                <m:t>∆P+</m:t>
              </m:r>
              <m:sSub>
                <m:sSubPr>
                  <m:ctrlPr>
                    <w:rPr>
                      <w:rFonts w:ascii="Cambria Math" w:eastAsia="微软雅黑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 w:cs="Times New Roman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 w:val="24"/>
                      <w:szCs w:val="24"/>
                    </w:rPr>
                    <m:t>PET</m:t>
                  </m:r>
                </m:sub>
              </m:sSub>
              <m:f>
                <m:fPr>
                  <m:ctrlPr>
                    <w:rPr>
                      <w:rFonts w:ascii="Cambria Math" w:eastAsia="微软雅黑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微软雅黑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微软雅黑" w:hAnsi="Cambria Math" w:cs="Times New Roman"/>
                      <w:sz w:val="24"/>
                      <w:szCs w:val="24"/>
                    </w:rPr>
                    <m:t>PET</m:t>
                  </m:r>
                </m:den>
              </m:f>
              <m:r>
                <w:rPr>
                  <w:rFonts w:ascii="Cambria Math" w:eastAsia="微软雅黑" w:hAnsi="Cambria Math" w:cs="Times New Roman"/>
                  <w:sz w:val="24"/>
                  <w:szCs w:val="24"/>
                </w:rPr>
                <m:t>∆PET+</m:t>
              </m:r>
              <m:sSub>
                <m:sSubPr>
                  <m:ctrlPr>
                    <w:rPr>
                      <w:rFonts w:ascii="Cambria Math" w:eastAsia="微软雅黑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 w:cs="Times New Roman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f>
                <m:fPr>
                  <m:ctrlPr>
                    <w:rPr>
                      <w:rFonts w:ascii="Cambria Math" w:eastAsia="微软雅黑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微软雅黑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微软雅黑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微软雅黑" w:hAnsi="Cambria Math" w:cs="Times New Roman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eastAsia="微软雅黑" w:hAnsi="Cambria Math" w:cs="Times New Roman"/>
                  <w:sz w:val="24"/>
                  <w:szCs w:val="24"/>
                </w:rPr>
                <m:t>∆n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微软雅黑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微软雅黑" w:hAnsi="Cambria Math" w:cs="Times New Roman"/>
                      <w:sz w:val="24"/>
                      <w:szCs w:val="24"/>
                    </w:rPr>
                    <m:t>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eqArr>
        </m:oMath>
      </m:oMathPara>
    </w:p>
    <w:p w14:paraId="00A7DF73" w14:textId="7D98AC6E" w:rsidR="008C1C22" w:rsidRDefault="00564F1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795D">
        <w:rPr>
          <w:rFonts w:ascii="Times New Roman" w:hAnsi="Times New Roman" w:cs="Times New Roman"/>
          <w:sz w:val="24"/>
          <w:szCs w:val="24"/>
        </w:rPr>
        <w:t>where Δ represents the changes from the pre-1986 period to 1986 onwards. Based on equation (7), the contributions of CCV, LUCC, and WADR to changes in observed streamflow (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</m:oMath>
      <w:r w:rsidRPr="00EF795D">
        <w:rPr>
          <w:rFonts w:ascii="Times New Roman" w:hAnsi="Times New Roman" w:cs="Times New Roman"/>
          <w:sz w:val="24"/>
          <w:szCs w:val="24"/>
        </w:rPr>
        <w:t xml:space="preserve">), as calculated using the Budyko method, can be expressed as: </w:t>
      </w:r>
    </w:p>
    <w:p w14:paraId="0C5560CB" w14:textId="499BA02E" w:rsidR="00451307" w:rsidRPr="00D23DAC" w:rsidRDefault="00D23DA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 w:hint="eastAsia"/>
                      <w:sz w:val="24"/>
                      <w:szCs w:val="24"/>
                    </w:rPr>
                    <m:t>CC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n,CVV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×100%#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</m:d>
            </m:e>
          </m:eqArr>
        </m:oMath>
      </m:oMathPara>
    </w:p>
    <w:p w14:paraId="725CE990" w14:textId="7B4AC601" w:rsidR="00D23DAC" w:rsidRPr="00D23DAC" w:rsidRDefault="00D23DAC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LUCC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,LUCC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×100%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e>
              </m:d>
            </m:e>
          </m:eqArr>
        </m:oMath>
      </m:oMathPara>
    </w:p>
    <w:p w14:paraId="0986B99E" w14:textId="50C3F138" w:rsidR="00D23DAC" w:rsidRPr="00D23DAC" w:rsidRDefault="00D23DAC" w:rsidP="00EF795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WADR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×100%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</m:d>
            </m:e>
          </m:eqArr>
        </m:oMath>
      </m:oMathPara>
    </w:p>
    <w:p w14:paraId="770A8B69" w14:textId="77777777" w:rsidR="00321DB4" w:rsidRPr="00321DB4" w:rsidRDefault="00321DB4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1DB4">
        <w:rPr>
          <w:rFonts w:ascii="Times New Roman" w:hAnsi="Times New Roman" w:cs="Times New Roman"/>
          <w:sz w:val="24"/>
          <w:szCs w:val="24"/>
        </w:rPr>
        <w:t xml:space="preserve">The Budyko attribution framework is applied through the following steps: </w:t>
      </w:r>
    </w:p>
    <w:p w14:paraId="7B68F189" w14:textId="7968955D" w:rsidR="00321DB4" w:rsidRPr="00321DB4" w:rsidRDefault="00321DB4" w:rsidP="00321DB4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21DB4">
        <w:rPr>
          <w:rFonts w:ascii="Times New Roman" w:hAnsi="Times New Roman" w:cs="Times New Roman"/>
          <w:sz w:val="24"/>
          <w:szCs w:val="24"/>
        </w:rPr>
        <w:t xml:space="preserve">Step 1: input the 1960-2016 annual mean P, PET, and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Qn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 into equation (2) to inversely calculate the parameter n for each station.</w:t>
      </w:r>
    </w:p>
    <w:p w14:paraId="2F8E8A0F" w14:textId="25C7A05A" w:rsidR="00321DB4" w:rsidRPr="00321DB4" w:rsidRDefault="00321DB4" w:rsidP="00321DB4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21DB4">
        <w:rPr>
          <w:rFonts w:ascii="Times New Roman" w:hAnsi="Times New Roman" w:cs="Times New Roman"/>
          <w:sz w:val="24"/>
          <w:szCs w:val="24"/>
        </w:rPr>
        <w:t xml:space="preserve">Step 2: input the 1960-2016 annual mean P, PET, and the parameter n (obtained in Step 1) into equations (4-6) to calculate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εP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εPET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εn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>.</w:t>
      </w:r>
    </w:p>
    <w:p w14:paraId="1FC568A3" w14:textId="765F5DE1" w:rsidR="00321DB4" w:rsidRPr="00321DB4" w:rsidRDefault="00321DB4" w:rsidP="00321DB4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21DB4">
        <w:rPr>
          <w:rFonts w:ascii="Times New Roman" w:hAnsi="Times New Roman" w:cs="Times New Roman"/>
          <w:sz w:val="24"/>
          <w:szCs w:val="24"/>
        </w:rPr>
        <w:t xml:space="preserve">Step 3: input the annual mean P, PET, and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Qn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 for the pre-1986 period and from 1986 onwards into equation (2) to inversely calculate the parameter n for each station in both periods. </w:t>
      </w:r>
    </w:p>
    <w:p w14:paraId="4E191631" w14:textId="716F128D" w:rsidR="00321DB4" w:rsidRPr="00321DB4" w:rsidRDefault="00321DB4" w:rsidP="00321DB4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21DB4">
        <w:rPr>
          <w:rFonts w:ascii="Times New Roman" w:hAnsi="Times New Roman" w:cs="Times New Roman"/>
          <w:sz w:val="24"/>
          <w:szCs w:val="24"/>
        </w:rPr>
        <w:t xml:space="preserve">Step 4: input ΔP, ΔPET, and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Δn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 from the pre-1986 period to 1986 onwards, together with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Qn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, P, PET, n,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εP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εPET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εn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 in Steps 1 and 2, into the equation (7) to calculate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acc>
      </m:oMath>
      <w:r w:rsidRPr="00321DB4">
        <w:rPr>
          <w:rFonts w:ascii="Times New Roman" w:hAnsi="Times New Roman" w:cs="Times New Roman"/>
          <w:sz w:val="24"/>
          <w:szCs w:val="24"/>
        </w:rPr>
        <w:t>,</w:t>
      </w:r>
      <w:r w:rsidRPr="00321DB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n,CVV</m:t>
            </m:r>
          </m:sub>
        </m:sSub>
      </m:oMath>
      <w:r w:rsidRPr="00321DB4">
        <w:rPr>
          <w:rFonts w:ascii="Times New Roman" w:hAnsi="Times New Roman" w:cs="Times New Roman" w:hint="eastAsia"/>
          <w:sz w:val="24"/>
          <w:szCs w:val="24"/>
        </w:rPr>
        <w:t>,</w:t>
      </w:r>
      <w:r w:rsidRPr="00321DB4">
        <w:rPr>
          <w:rFonts w:ascii="Times New Roman" w:hAnsi="Times New Roman" w:cs="Times New Roman"/>
          <w:sz w:val="24"/>
          <w:szCs w:val="24"/>
        </w:rPr>
        <w:t xml:space="preserve"> and</w:t>
      </w:r>
      <w:r w:rsidRPr="00321DB4"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n,LUCC</m:t>
            </m:r>
          </m:sub>
        </m:sSub>
      </m:oMath>
      <w:r w:rsidRPr="00321DB4">
        <w:rPr>
          <w:rFonts w:ascii="Times New Roman" w:hAnsi="Times New Roman" w:cs="Times New Roman" w:hint="eastAsia"/>
          <w:sz w:val="24"/>
          <w:szCs w:val="24"/>
        </w:rPr>
        <w:t>.</w:t>
      </w:r>
    </w:p>
    <w:p w14:paraId="4111043B" w14:textId="2535385A" w:rsidR="00321DB4" w:rsidRPr="00321DB4" w:rsidRDefault="00321DB4" w:rsidP="00321DB4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21DB4">
        <w:rPr>
          <w:rFonts w:ascii="Times New Roman" w:hAnsi="Times New Roman" w:cs="Times New Roman"/>
          <w:sz w:val="24"/>
          <w:szCs w:val="24"/>
        </w:rPr>
        <w:t>Step 5: input changes in observed (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ΔQo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>) and naturalized (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ΔQn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) streamflow from the pre1986 period to 1986 onwards, together with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n,CVV</m:t>
            </m:r>
          </m:sub>
        </m:sSub>
      </m:oMath>
      <w:r w:rsidRPr="00321DB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n,LUCC</m:t>
            </m:r>
          </m:sub>
        </m:sSub>
      </m:oMath>
      <w:r w:rsidRPr="00321DB4">
        <w:rPr>
          <w:rFonts w:ascii="Times New Roman" w:hAnsi="Times New Roman" w:cs="Times New Roman"/>
          <w:sz w:val="24"/>
          <w:szCs w:val="24"/>
        </w:rPr>
        <w:t xml:space="preserve"> obtained in Step 4, into equations (8-10) to calculate contribution rates. </w:t>
      </w:r>
    </w:p>
    <w:p w14:paraId="2C2DB0DA" w14:textId="232F8274" w:rsidR="00321DB4" w:rsidRPr="00321DB4" w:rsidRDefault="00321DB4" w:rsidP="00321DB4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21DB4">
        <w:rPr>
          <w:rFonts w:ascii="Times New Roman" w:hAnsi="Times New Roman" w:cs="Times New Roman"/>
          <w:sz w:val="24"/>
          <w:szCs w:val="24"/>
        </w:rPr>
        <w:lastRenderedPageBreak/>
        <w:t xml:space="preserve">Step 6: use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acc>
      </m:oMath>
      <w:r w:rsidRPr="00321DB4">
        <w:rPr>
          <w:rFonts w:ascii="Times New Roman" w:hAnsi="Times New Roman" w:cs="Times New Roman"/>
          <w:sz w:val="24"/>
          <w:szCs w:val="24"/>
        </w:rPr>
        <w:t xml:space="preserve"> obtained in Step 4 and ΔQn to plot fig. S5A. Since </w:t>
      </w:r>
      <w:proofErr w:type="spellStart"/>
      <w:r w:rsidRPr="00321DB4">
        <w:rPr>
          <w:rFonts w:ascii="Times New Roman" w:hAnsi="Times New Roman" w:cs="Times New Roman"/>
          <w:sz w:val="24"/>
          <w:szCs w:val="24"/>
        </w:rPr>
        <w:t>Qn</w:t>
      </w:r>
      <w:proofErr w:type="spellEnd"/>
      <w:r w:rsidRPr="00321DB4">
        <w:rPr>
          <w:rFonts w:ascii="Times New Roman" w:hAnsi="Times New Roman" w:cs="Times New Roman"/>
          <w:sz w:val="24"/>
          <w:szCs w:val="24"/>
        </w:rPr>
        <w:t xml:space="preserve"> is used in Step 1 to inversely calculate the parameter n in the Budyko model (serving as model calibration), the Budyko-simulated naturalized streamflow exhibits perfect agreement and correlation. This confirms that the Budyko framework effectively quantifies the relationships between P, PET, and Qn</w:t>
      </w:r>
      <w:r w:rsidRPr="00321DB4">
        <w:rPr>
          <w:rFonts w:ascii="Times New Roman" w:hAnsi="Times New Roman" w:cs="Times New Roman"/>
          <w:sz w:val="24"/>
          <w:szCs w:val="24"/>
        </w:rPr>
        <w:t>.</w:t>
      </w:r>
    </w:p>
    <w:p w14:paraId="7350780A" w14:textId="77777777" w:rsidR="00321DB4" w:rsidRDefault="00321DB4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EB0017" w14:textId="77777777" w:rsidR="00451307" w:rsidRDefault="00451307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SIMIP3a, </w:t>
      </w:r>
    </w:p>
    <w:p w14:paraId="07A86D64" w14:textId="77777777" w:rsidR="00451307" w:rsidRDefault="00451307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1307">
        <w:rPr>
          <w:rFonts w:ascii="Times New Roman" w:hAnsi="Times New Roman" w:cs="Times New Roman"/>
          <w:sz w:val="24"/>
          <w:szCs w:val="24"/>
        </w:rPr>
        <w:t xml:space="preserve">The observation-based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forcings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 used in these models are specified as “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obsclim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>” and “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histsoc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.” </w:t>
      </w:r>
    </w:p>
    <w:p w14:paraId="40830625" w14:textId="77777777" w:rsidR="00451307" w:rsidRDefault="00451307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1307">
        <w:rPr>
          <w:rFonts w:ascii="Times New Roman" w:hAnsi="Times New Roman" w:cs="Times New Roman"/>
          <w:sz w:val="24"/>
          <w:szCs w:val="24"/>
        </w:rPr>
        <w:t>1) “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obsclim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” refers to observation-based climate-related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forcings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, consisting of standard atmospheric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forcings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. ISIMIP3a uses four atmospheric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forcings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—GSWP3-W5E5, 20CRv3, 20CRv3-W5E5, and 20CRv3-ERA5—each of which is used separately to drive the GHMs. </w:t>
      </w:r>
    </w:p>
    <w:p w14:paraId="77367D58" w14:textId="068B146C" w:rsidR="00451307" w:rsidRDefault="00451307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1307">
        <w:rPr>
          <w:rFonts w:ascii="Times New Roman" w:hAnsi="Times New Roman" w:cs="Times New Roman"/>
          <w:sz w:val="24"/>
          <w:szCs w:val="24"/>
        </w:rPr>
        <w:t>2) “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histsoc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>” represents varying direct human influences during the historical period, including LUCC, variable human water abstraction, and simplified reservoir regulation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6E8CC8" w14:textId="77777777" w:rsidR="00451307" w:rsidRDefault="00451307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1307">
        <w:rPr>
          <w:rFonts w:ascii="Times New Roman" w:hAnsi="Times New Roman" w:cs="Times New Roman"/>
          <w:sz w:val="24"/>
          <w:szCs w:val="24"/>
        </w:rPr>
        <w:t xml:space="preserve">To isolate and identify the contributions of different drivers to streamflow changes, ISIMIP3a transforms observation-based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forcings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 and uses these transformations to rerun the GHMs. The transformations used in this study are “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counterclim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” and “1901soc”. </w:t>
      </w:r>
    </w:p>
    <w:p w14:paraId="0B49C112" w14:textId="139DE868" w:rsidR="00451307" w:rsidRDefault="00451307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1307">
        <w:rPr>
          <w:rFonts w:ascii="Times New Roman" w:hAnsi="Times New Roman" w:cs="Times New Roman"/>
          <w:sz w:val="24"/>
          <w:szCs w:val="24"/>
        </w:rPr>
        <w:t>3) “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counterclim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” refers to a hypothetical counterfactual climate condition in the absence of observed climate change. This condition is derived by detrending four atmospheric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forcings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 using ATTRICI version 1.1, which removes global mean temperature–related shifts in each grid.</w:t>
      </w:r>
    </w:p>
    <w:p w14:paraId="209B176D" w14:textId="0B89B023" w:rsidR="00451307" w:rsidRDefault="00451307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1307">
        <w:rPr>
          <w:rFonts w:ascii="Times New Roman" w:hAnsi="Times New Roman" w:cs="Times New Roman"/>
          <w:sz w:val="24"/>
          <w:szCs w:val="24"/>
        </w:rPr>
        <w:t>4) “1901soc” represents direct human influences that remain constant over time, maintaining land use, human water abstraction, and reservoir conditions identical to those in 1901.</w:t>
      </w:r>
    </w:p>
    <w:p w14:paraId="3C36DF32" w14:textId="3CB62527" w:rsidR="00451307" w:rsidRDefault="00451307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1307">
        <w:rPr>
          <w:rFonts w:ascii="Times New Roman" w:hAnsi="Times New Roman" w:cs="Times New Roman"/>
          <w:sz w:val="24"/>
          <w:szCs w:val="24"/>
        </w:rPr>
        <w:t>On the basis of the information outlined above, Qo is reconstructed using GHMs forced by “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obsclim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histsoc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” (denoted as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Q′o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Qn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 is reconstructed using GHMs forced by “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obsclim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 + 1901soc” (denoted as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Q′n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>). In addition, GHMs forced by “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counterclim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 + 1901soc” (denoted as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Q′cn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) are used to distinguish the influence of climate change </w:t>
      </w:r>
      <w:r w:rsidRPr="00451307">
        <w:rPr>
          <w:rFonts w:ascii="Times New Roman" w:hAnsi="Times New Roman" w:cs="Times New Roman"/>
          <w:sz w:val="24"/>
          <w:szCs w:val="24"/>
        </w:rPr>
        <w:lastRenderedPageBreak/>
        <w:t xml:space="preserve">from climate variability. According to the GHMs participating in ISIMIP3a, as listed in data S2, we downloaded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Q′o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Q′n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451307">
        <w:rPr>
          <w:rFonts w:ascii="Times New Roman" w:hAnsi="Times New Roman" w:cs="Times New Roman"/>
          <w:sz w:val="24"/>
          <w:szCs w:val="24"/>
        </w:rPr>
        <w:t>Q′cn</w:t>
      </w:r>
      <w:proofErr w:type="spellEnd"/>
      <w:r w:rsidRPr="00451307">
        <w:rPr>
          <w:rFonts w:ascii="Times New Roman" w:hAnsi="Times New Roman" w:cs="Times New Roman"/>
          <w:sz w:val="24"/>
          <w:szCs w:val="24"/>
        </w:rPr>
        <w:t xml:space="preserve"> from nine ISIMIP3a outputs.</w:t>
      </w:r>
    </w:p>
    <w:p w14:paraId="32BC1E10" w14:textId="05EEE3A7" w:rsidR="004E49CD" w:rsidRDefault="004E49CD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contributions of C</w:t>
      </w:r>
      <w:r>
        <w:rPr>
          <w:rFonts w:ascii="Times New Roman" w:hAnsi="Times New Roman" w:cs="Times New Roman" w:hint="eastAsia"/>
          <w:sz w:val="24"/>
          <w:szCs w:val="24"/>
        </w:rPr>
        <w:t>CV</w:t>
      </w:r>
      <w:r>
        <w:rPr>
          <w:rFonts w:ascii="Times New Roman" w:hAnsi="Times New Roman" w:cs="Times New Roman"/>
          <w:sz w:val="24"/>
          <w:szCs w:val="24"/>
        </w:rPr>
        <w:t xml:space="preserve">, LUCC, and WADR to the change in </w:t>
      </w:r>
      <w:r w:rsidRPr="00451307">
        <w:rPr>
          <w:rFonts w:ascii="Times New Roman" w:hAnsi="Times New Roman" w:cs="Times New Roman"/>
          <w:sz w:val="24"/>
          <w:szCs w:val="24"/>
        </w:rPr>
        <w:t>Qo</w:t>
      </w:r>
      <w:r>
        <w:rPr>
          <w:rFonts w:ascii="Times New Roman" w:hAnsi="Times New Roman" w:cs="Times New Roman"/>
          <w:sz w:val="24"/>
          <w:szCs w:val="24"/>
        </w:rPr>
        <w:t xml:space="preserve"> denoted as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CCV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LUCC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WADR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can be calculated as</w:t>
      </w:r>
    </w:p>
    <w:p w14:paraId="38A034BE" w14:textId="4C0044F3" w:rsidR="004E49CD" w:rsidRPr="004E49CD" w:rsidRDefault="00692E46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CCV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560A4018" w14:textId="0DFEF009" w:rsidR="004E49CD" w:rsidRDefault="004E49CD" w:rsidP="00EF795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LUCC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-∆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 w:hint="eastAsia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4BBB36A9" w14:textId="5C05F04E" w:rsidR="004E49CD" w:rsidRPr="00692E46" w:rsidRDefault="004E49CD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WADR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6AE0B873" w14:textId="24C1446E" w:rsidR="00692E46" w:rsidRDefault="00692E46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CCV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can be further divided into the contributions of ACC and NCV, namely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ACC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NCV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, as follows</w:t>
      </w:r>
    </w:p>
    <w:p w14:paraId="256AEE3A" w14:textId="3E672FD9" w:rsidR="00692E46" w:rsidRPr="00692E46" w:rsidRDefault="00692E46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ACC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-∆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cn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5EF5901F" w14:textId="558E42ED" w:rsidR="00692E46" w:rsidRPr="00692E46" w:rsidRDefault="00692E46" w:rsidP="00692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ACC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cn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5D6213E1" w14:textId="77777777" w:rsidR="00692E46" w:rsidRPr="004E49CD" w:rsidRDefault="00692E46" w:rsidP="00EF795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1082FFED" w14:textId="77777777" w:rsidR="004E49CD" w:rsidRDefault="004E49CD" w:rsidP="004E49C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ISIMIP</w:t>
      </w:r>
      <w:r>
        <w:rPr>
          <w:rFonts w:ascii="Times New Roman" w:hAnsi="Times New Roman" w:cs="Times New Roman"/>
          <w:sz w:val="24"/>
          <w:szCs w:val="24"/>
        </w:rPr>
        <w:t>2a, NOSOC, VARSOC experiment</w:t>
      </w:r>
    </w:p>
    <w:p w14:paraId="19CE0ADA" w14:textId="78F600B8" w:rsidR="004E49CD" w:rsidRDefault="004E49CD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86906D" w14:textId="03ECCDE6" w:rsidR="004F4374" w:rsidRDefault="004F4374" w:rsidP="00EF795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ata </w:t>
      </w:r>
      <w:r>
        <w:rPr>
          <w:rFonts w:ascii="Times New Roman" w:hAnsi="Times New Roman" w:cs="Times New Roman" w:hint="eastAsia"/>
          <w:sz w:val="24"/>
          <w:szCs w:val="24"/>
        </w:rPr>
        <w:t>so</w:t>
      </w:r>
      <w:r>
        <w:rPr>
          <w:rFonts w:ascii="Times New Roman" w:hAnsi="Times New Roman" w:cs="Times New Roman"/>
          <w:sz w:val="24"/>
          <w:szCs w:val="24"/>
        </w:rPr>
        <w:t>urces:</w:t>
      </w:r>
    </w:p>
    <w:p w14:paraId="155A9F0D" w14:textId="3A473D9B" w:rsidR="00305D5D" w:rsidRDefault="00305D5D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Observed streamflow data: G</w:t>
      </w:r>
      <w:r>
        <w:rPr>
          <w:rFonts w:ascii="Times New Roman" w:hAnsi="Times New Roman" w:cs="Times New Roman" w:hint="eastAsia"/>
          <w:sz w:val="24"/>
          <w:szCs w:val="24"/>
        </w:rPr>
        <w:t>lob</w:t>
      </w:r>
      <w:r>
        <w:rPr>
          <w:rFonts w:ascii="Times New Roman" w:hAnsi="Times New Roman" w:cs="Times New Roman"/>
          <w:sz w:val="24"/>
          <w:szCs w:val="24"/>
        </w:rPr>
        <w:t>al Runoff Data Center (GRDC,</w:t>
      </w:r>
      <w:r w:rsidRPr="00305D5D">
        <w:t xml:space="preserve"> </w:t>
      </w:r>
      <w:hyperlink r:id="rId7" w:history="1">
        <w:r w:rsidRPr="00E913EE">
          <w:rPr>
            <w:rStyle w:val="a9"/>
            <w:rFonts w:ascii="Times New Roman" w:hAnsi="Times New Roman" w:cs="Times New Roman"/>
            <w:sz w:val="24"/>
            <w:szCs w:val="24"/>
          </w:rPr>
          <w:t>https://portal.grdc.bafg.de/applications/public.html?publicuser=PublicUser#dataDownload/Hom</w:t>
        </w:r>
        <w:r w:rsidRPr="00E913EE">
          <w:rPr>
            <w:rStyle w:val="a9"/>
            <w:rFonts w:ascii="Times New Roman" w:hAnsi="Times New Roman" w:cs="Times New Roman"/>
            <w:sz w:val="24"/>
            <w:szCs w:val="24"/>
          </w:rPr>
          <w:t>e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73802E9" w14:textId="06A9E43C" w:rsidR="00305D5D" w:rsidRDefault="00305D5D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A58340" w14:textId="3192C538" w:rsidR="00305D5D" w:rsidRDefault="00305D5D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ater consumption data of different sectors-irrigation, livestock, electricity generation, domestic, mining and manufacturing </w:t>
      </w:r>
      <w:r w:rsidR="004F4374">
        <w:rPr>
          <w:rFonts w:ascii="Times New Roman" w:hAnsi="Times New Roman" w:cs="Times New Roman"/>
          <w:sz w:val="24"/>
          <w:szCs w:val="24"/>
        </w:rPr>
        <w:t xml:space="preserve">from 1970-2010 </w:t>
      </w:r>
      <w:r>
        <w:rPr>
          <w:rFonts w:ascii="Times New Roman" w:hAnsi="Times New Roman" w:cs="Times New Roman"/>
          <w:sz w:val="24"/>
          <w:szCs w:val="24"/>
        </w:rPr>
        <w:t>(</w:t>
      </w:r>
      <w:hyperlink r:id="rId8" w:tgtFrame="_blank" w:history="1">
        <w:r w:rsidRPr="00305D5D">
          <w:rPr>
            <w:rFonts w:ascii="Times New Roman" w:hAnsi="Times New Roman" w:cs="Times New Roman"/>
            <w:sz w:val="24"/>
            <w:szCs w:val="24"/>
          </w:rPr>
          <w:t>https://doi.org/10.5281/zenodo.1209296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7D29CE4" w14:textId="2EA3B09F" w:rsidR="00305D5D" w:rsidRDefault="00305D5D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BB82DA" w14:textId="707CF888" w:rsidR="004F4374" w:rsidRDefault="004F4374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uture climate projections: </w:t>
      </w:r>
      <w:hyperlink r:id="rId9" w:history="1">
        <w:r w:rsidRPr="00E913EE">
          <w:rPr>
            <w:rStyle w:val="a9"/>
            <w:rFonts w:ascii="Times New Roman" w:hAnsi="Times New Roman" w:cs="Times New Roman"/>
            <w:sz w:val="24"/>
            <w:szCs w:val="24"/>
          </w:rPr>
          <w:t>https://www.isimip.org/</w:t>
        </w:r>
      </w:hyperlink>
    </w:p>
    <w:p w14:paraId="73A63AAC" w14:textId="3B8150C0" w:rsidR="004F4374" w:rsidRPr="002E7968" w:rsidRDefault="002E7968" w:rsidP="00EF79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ferences:</w:t>
      </w:r>
    </w:p>
    <w:p w14:paraId="1544774D" w14:textId="77777777" w:rsidR="002E7968" w:rsidRPr="002E7968" w:rsidRDefault="002E7968" w:rsidP="002E7968">
      <w:pPr>
        <w:pStyle w:val="ab"/>
        <w:kinsoku w:val="0"/>
        <w:overflowPunct w:val="0"/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2E7968">
        <w:rPr>
          <w:rFonts w:ascii="Times New Roman" w:hAnsi="Times New Roman" w:cs="Times New Roman"/>
          <w:kern w:val="24"/>
        </w:rPr>
        <w:t xml:space="preserve">Rosa L, </w:t>
      </w:r>
      <w:proofErr w:type="spellStart"/>
      <w:r w:rsidRPr="002E7968">
        <w:rPr>
          <w:rFonts w:ascii="Times New Roman" w:hAnsi="Times New Roman" w:cs="Times New Roman"/>
          <w:kern w:val="24"/>
        </w:rPr>
        <w:t>Sangiorgio</w:t>
      </w:r>
      <w:proofErr w:type="spellEnd"/>
      <w:r w:rsidRPr="002E7968">
        <w:rPr>
          <w:rFonts w:ascii="Times New Roman" w:hAnsi="Times New Roman" w:cs="Times New Roman"/>
          <w:kern w:val="24"/>
        </w:rPr>
        <w:t xml:space="preserve"> M. Global water gaps under future warming levels[J]. Nature Communications, 2025, 16(1): 1192.</w:t>
      </w:r>
    </w:p>
    <w:p w14:paraId="66F3BB8C" w14:textId="77777777" w:rsidR="002E7968" w:rsidRPr="002E7968" w:rsidRDefault="002E7968" w:rsidP="002E7968">
      <w:pPr>
        <w:pStyle w:val="ab"/>
        <w:kinsoku w:val="0"/>
        <w:overflowPunct w:val="0"/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2E7968">
        <w:rPr>
          <w:rFonts w:ascii="Times New Roman" w:hAnsi="Times New Roman" w:cs="Times New Roman"/>
          <w:kern w:val="24"/>
        </w:rPr>
        <w:t>Deng Q, Sharretts T, Ali T, et al. Deepening water scarcity in breadbasket nations[J]. Nature Communications, 2025, 16(1): 1110.</w:t>
      </w:r>
    </w:p>
    <w:p w14:paraId="14BD617F" w14:textId="77777777" w:rsidR="002E7968" w:rsidRPr="002E7968" w:rsidRDefault="002E7968" w:rsidP="002E7968">
      <w:pPr>
        <w:pStyle w:val="ab"/>
        <w:kinsoku w:val="0"/>
        <w:overflowPunct w:val="0"/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2E7968">
        <w:rPr>
          <w:rFonts w:ascii="Times New Roman" w:hAnsi="Times New Roman" w:cs="Times New Roman"/>
          <w:kern w:val="24"/>
        </w:rPr>
        <w:lastRenderedPageBreak/>
        <w:t>Wang K, Liu X, Cui P, et al. China’s nationwide streamflow decline driven by landscape changes and human interventions[J]. Science Advances, 2025, 11(32): eadu8032.</w:t>
      </w:r>
    </w:p>
    <w:p w14:paraId="4F1DDFFA" w14:textId="77777777" w:rsidR="002E7968" w:rsidRPr="002E7968" w:rsidRDefault="002E7968" w:rsidP="002E7968">
      <w:pPr>
        <w:pStyle w:val="ab"/>
        <w:kinsoku w:val="0"/>
        <w:overflowPunct w:val="0"/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2E7968">
        <w:rPr>
          <w:rFonts w:ascii="Times New Roman" w:hAnsi="Times New Roman" w:cs="Times New Roman"/>
          <w:kern w:val="24"/>
        </w:rPr>
        <w:t xml:space="preserve">Liu X, Liu W, Yang H, et al. </w:t>
      </w:r>
      <w:proofErr w:type="spellStart"/>
      <w:r w:rsidRPr="002E7968">
        <w:rPr>
          <w:rFonts w:ascii="Times New Roman" w:hAnsi="Times New Roman" w:cs="Times New Roman"/>
          <w:kern w:val="24"/>
        </w:rPr>
        <w:t>Multimodel</w:t>
      </w:r>
      <w:proofErr w:type="spellEnd"/>
      <w:r w:rsidRPr="002E7968">
        <w:rPr>
          <w:rFonts w:ascii="Times New Roman" w:hAnsi="Times New Roman" w:cs="Times New Roman"/>
          <w:kern w:val="24"/>
        </w:rPr>
        <w:t xml:space="preserve"> assessments of human and climate impacts on mean annual streamflow in China[J]. Hydrology and Earth System Sciences, 2019, 23(3): 1245-1261.</w:t>
      </w:r>
    </w:p>
    <w:p w14:paraId="5890E63A" w14:textId="77777777" w:rsidR="002E7968" w:rsidRPr="002E7968" w:rsidRDefault="002E7968" w:rsidP="002E7968">
      <w:pPr>
        <w:pStyle w:val="ab"/>
        <w:kinsoku w:val="0"/>
        <w:overflowPunct w:val="0"/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2E7968">
        <w:rPr>
          <w:rFonts w:ascii="Times New Roman" w:hAnsi="Times New Roman" w:cs="Times New Roman"/>
          <w:kern w:val="24"/>
        </w:rPr>
        <w:t>Huang Z, Yuan X, Liu X. The key drivers for the changes in global water scarcity: Water withdrawal versus water availability[J]. Journal of Hydrology, 2021, 601: 126658.</w:t>
      </w:r>
    </w:p>
    <w:p w14:paraId="59C45DAE" w14:textId="77777777" w:rsidR="002E7968" w:rsidRPr="002E7968" w:rsidRDefault="002E7968" w:rsidP="002E7968">
      <w:pPr>
        <w:pStyle w:val="ab"/>
        <w:kinsoku w:val="0"/>
        <w:overflowPunct w:val="0"/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2E7968">
        <w:rPr>
          <w:rFonts w:ascii="Times New Roman" w:hAnsi="Times New Roman" w:cs="Times New Roman"/>
          <w:kern w:val="24"/>
        </w:rPr>
        <w:t>He S, Chen K, Liu Z, et al. Exploring the impacts of climate change and human activities on future runoff variations at the seasonal scale[J]. Journal of Hydrology, 2023, 619: 129382.</w:t>
      </w:r>
    </w:p>
    <w:p w14:paraId="7556847D" w14:textId="77777777" w:rsidR="00540CAD" w:rsidRPr="00540CAD" w:rsidRDefault="00540CAD" w:rsidP="00540CAD">
      <w:pPr>
        <w:pStyle w:val="ab"/>
        <w:kinsoku w:val="0"/>
        <w:overflowPunct w:val="0"/>
        <w:spacing w:before="0" w:beforeAutospacing="0" w:after="0" w:afterAutospacing="0"/>
        <w:textAlignment w:val="baseline"/>
        <w:rPr>
          <w:rFonts w:ascii="Times New Roman" w:hAnsi="Times New Roman" w:cs="Times New Roman"/>
        </w:rPr>
      </w:pPr>
      <w:r w:rsidRPr="00540CAD">
        <w:rPr>
          <w:rFonts w:ascii="Times New Roman" w:hAnsi="Times New Roman" w:cs="Times New Roman"/>
          <w:kern w:val="24"/>
        </w:rPr>
        <w:t>Liu W, Fu Z, van Vliet M T H, et al. Global overlooked multidimensional water scarcity[J]. Proceedings of the National Academy of Sciences, 2025, 122(26): e2413541122.</w:t>
      </w:r>
    </w:p>
    <w:p w14:paraId="1F025816" w14:textId="5D029FEB" w:rsidR="002E7968" w:rsidRPr="004F4374" w:rsidRDefault="002E7968" w:rsidP="00EF795D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sectPr w:rsidR="002E7968" w:rsidRPr="004F43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7B147" w14:textId="77777777" w:rsidR="007A738D" w:rsidRDefault="007A738D" w:rsidP="00EF795D">
      <w:r>
        <w:separator/>
      </w:r>
    </w:p>
  </w:endnote>
  <w:endnote w:type="continuationSeparator" w:id="0">
    <w:p w14:paraId="1D30F096" w14:textId="77777777" w:rsidR="007A738D" w:rsidRDefault="007A738D" w:rsidP="00EF7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CAFE1" w14:textId="77777777" w:rsidR="007A738D" w:rsidRDefault="007A738D" w:rsidP="00EF795D">
      <w:r>
        <w:separator/>
      </w:r>
    </w:p>
  </w:footnote>
  <w:footnote w:type="continuationSeparator" w:id="0">
    <w:p w14:paraId="29DAD437" w14:textId="77777777" w:rsidR="007A738D" w:rsidRDefault="007A738D" w:rsidP="00EF7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671CB"/>
    <w:multiLevelType w:val="hybridMultilevel"/>
    <w:tmpl w:val="A47498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1C"/>
    <w:rsid w:val="002E7968"/>
    <w:rsid w:val="00305D5D"/>
    <w:rsid w:val="00321DB4"/>
    <w:rsid w:val="003B6360"/>
    <w:rsid w:val="00451307"/>
    <w:rsid w:val="004D7C67"/>
    <w:rsid w:val="004E49CD"/>
    <w:rsid w:val="004F4374"/>
    <w:rsid w:val="00540CAD"/>
    <w:rsid w:val="005456C8"/>
    <w:rsid w:val="00564F1C"/>
    <w:rsid w:val="00692E46"/>
    <w:rsid w:val="006C5AF1"/>
    <w:rsid w:val="00713ED5"/>
    <w:rsid w:val="007A738D"/>
    <w:rsid w:val="00853B24"/>
    <w:rsid w:val="00877EC3"/>
    <w:rsid w:val="008C1C22"/>
    <w:rsid w:val="00C435D6"/>
    <w:rsid w:val="00C9712F"/>
    <w:rsid w:val="00D23DAC"/>
    <w:rsid w:val="00DD6A81"/>
    <w:rsid w:val="00EF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3D7526"/>
  <w15:chartTrackingRefBased/>
  <w15:docId w15:val="{7176D3E5-822B-4AC8-A065-B4AC003A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7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79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7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795D"/>
    <w:rPr>
      <w:sz w:val="18"/>
      <w:szCs w:val="18"/>
    </w:rPr>
  </w:style>
  <w:style w:type="character" w:styleId="a7">
    <w:name w:val="Placeholder Text"/>
    <w:basedOn w:val="a0"/>
    <w:uiPriority w:val="99"/>
    <w:semiHidden/>
    <w:rsid w:val="00C9712F"/>
    <w:rPr>
      <w:color w:val="808080"/>
    </w:rPr>
  </w:style>
  <w:style w:type="paragraph" w:styleId="a8">
    <w:name w:val="List Paragraph"/>
    <w:basedOn w:val="a"/>
    <w:uiPriority w:val="34"/>
    <w:qFormat/>
    <w:rsid w:val="00321DB4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305D5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05D5D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2E79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281/zenodo.120929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grdc.bafg.de/applications/public.html?publicuser=PublicUser#dataDownload/Ho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simip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4374</TotalTime>
  <Pages>5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豪杰 朱</dc:creator>
  <cp:keywords/>
  <dc:description/>
  <cp:lastModifiedBy>豪杰 朱</cp:lastModifiedBy>
  <cp:revision>11</cp:revision>
  <dcterms:created xsi:type="dcterms:W3CDTF">2025-12-25T02:13:00Z</dcterms:created>
  <dcterms:modified xsi:type="dcterms:W3CDTF">2025-12-28T03:18:00Z</dcterms:modified>
</cp:coreProperties>
</file>