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D73CA">
      <w:pPr>
        <w:spacing w:after="120" w:line="264" w:lineRule="auto"/>
        <w:jc w:val="center"/>
        <w:rPr>
          <w:rFonts w:eastAsia="Calibri"/>
          <w:sz w:val="21"/>
          <w:szCs w:val="21"/>
        </w:rPr>
      </w:pPr>
      <w:bookmarkStart w:id="4" w:name="_GoBack"/>
      <w:r>
        <w:rPr>
          <w:rFonts w:eastAsia="Calibri"/>
          <w:sz w:val="21"/>
          <w:szCs w:val="21"/>
        </w:rPr>
        <w:t xml:space="preserve"> </w:t>
      </w:r>
    </w:p>
    <w:p w14:paraId="185FDD88">
      <w:pPr>
        <w:spacing w:after="120" w:line="264" w:lineRule="auto"/>
        <w:jc w:val="center"/>
        <w:rPr>
          <w:rFonts w:eastAsia="Calibri"/>
          <w:sz w:val="21"/>
          <w:szCs w:val="21"/>
        </w:rPr>
      </w:pPr>
    </w:p>
    <w:p w14:paraId="30C27962">
      <w:pPr>
        <w:spacing w:after="120" w:line="264" w:lineRule="auto"/>
        <w:jc w:val="center"/>
        <w:rPr>
          <w:rFonts w:eastAsia="Calibri"/>
          <w:sz w:val="21"/>
          <w:szCs w:val="21"/>
        </w:rPr>
      </w:pPr>
    </w:p>
    <w:p w14:paraId="2FB76950">
      <w:pPr>
        <w:spacing w:after="120" w:line="264" w:lineRule="auto"/>
        <w:jc w:val="center"/>
        <w:rPr>
          <w:rFonts w:eastAsia="Calibri"/>
          <w:sz w:val="21"/>
          <w:szCs w:val="21"/>
        </w:rPr>
      </w:pPr>
    </w:p>
    <w:p w14:paraId="2A4FEB32">
      <w:pPr>
        <w:spacing w:after="120" w:line="264" w:lineRule="auto"/>
        <w:jc w:val="center"/>
        <w:rPr>
          <w:rFonts w:eastAsia="Calibri"/>
          <w:sz w:val="21"/>
          <w:szCs w:val="21"/>
        </w:rPr>
      </w:pPr>
    </w:p>
    <w:p w14:paraId="56FE9B6E">
      <w:pPr>
        <w:spacing w:after="120" w:line="264" w:lineRule="auto"/>
        <w:jc w:val="center"/>
        <w:rPr>
          <w:rFonts w:eastAsia="Calibri"/>
          <w:sz w:val="21"/>
          <w:szCs w:val="21"/>
        </w:rPr>
      </w:pPr>
    </w:p>
    <w:p w14:paraId="32573751">
      <w:pPr>
        <w:spacing w:after="120" w:line="264" w:lineRule="auto"/>
        <w:jc w:val="center"/>
        <w:rPr>
          <w:rFonts w:eastAsia="Calibri"/>
          <w:color w:val="102738"/>
          <w:sz w:val="21"/>
          <w:szCs w:val="21"/>
        </w:rPr>
      </w:pPr>
      <w:r>
        <w:rPr>
          <w:lang w:val="en-US"/>
        </w:rPr>
        <w:t xml:space="preserve"> </w:t>
      </w:r>
      <w:r>
        <w:rPr>
          <w:rFonts w:eastAsia="Calibri"/>
          <w:color w:val="222A35"/>
          <w:sz w:val="56"/>
          <w:szCs w:val="56"/>
        </w:rPr>
        <w:t>TEST REPORT</w:t>
      </w:r>
    </w:p>
    <w:p w14:paraId="082A3082">
      <w:pPr>
        <w:pStyle w:val="10"/>
        <w:ind w:left="0"/>
        <w:jc w:val="center"/>
        <w:rPr>
          <w:rFonts w:cs="Arial"/>
          <w:sz w:val="36"/>
        </w:rPr>
      </w:pPr>
      <w:r>
        <w:rPr>
          <w:rFonts w:cs="Arial"/>
          <w:sz w:val="36"/>
        </w:rPr>
        <w:t>Version 1.0</w:t>
      </w:r>
    </w:p>
    <w:p w14:paraId="5593921D">
      <w:pPr>
        <w:pStyle w:val="10"/>
        <w:ind w:left="0"/>
        <w:jc w:val="center"/>
        <w:rPr>
          <w:rFonts w:cs="Arial"/>
          <w:sz w:val="28"/>
        </w:rPr>
      </w:pPr>
      <w:r>
        <w:rPr>
          <w:rFonts w:cs="Arial"/>
          <w:sz w:val="36"/>
        </w:rPr>
        <w:t xml:space="preserve">Date Submission: </w:t>
      </w:r>
    </w:p>
    <w:p w14:paraId="195946CB">
      <w:pPr>
        <w:pStyle w:val="10"/>
        <w:ind w:left="0"/>
        <w:jc w:val="center"/>
        <w:rPr>
          <w:rFonts w:cs="Arial"/>
          <w:sz w:val="28"/>
        </w:rPr>
      </w:pPr>
    </w:p>
    <w:p w14:paraId="10FD8E93">
      <w:pPr>
        <w:pStyle w:val="10"/>
        <w:ind w:left="0"/>
        <w:jc w:val="center"/>
        <w:rPr>
          <w:rFonts w:cs="Arial"/>
          <w:sz w:val="28"/>
        </w:rPr>
      </w:pPr>
    </w:p>
    <w:p w14:paraId="6A53530C">
      <w:pPr>
        <w:pStyle w:val="10"/>
        <w:ind w:left="0"/>
        <w:jc w:val="center"/>
        <w:rPr>
          <w:rFonts w:cs="Arial"/>
          <w:sz w:val="28"/>
        </w:rPr>
      </w:pPr>
      <w:r>
        <w:rPr>
          <w:rFonts w:cs="Arial"/>
          <w:sz w:val="28"/>
        </w:rPr>
        <w:t>Name of System: 7NVENT Hotel Inventory Management System</w:t>
      </w:r>
    </w:p>
    <w:p w14:paraId="19A5F5AA">
      <w:pPr>
        <w:pStyle w:val="10"/>
        <w:ind w:left="0"/>
        <w:jc w:val="center"/>
        <w:rPr>
          <w:rFonts w:cs="Arial"/>
          <w:sz w:val="28"/>
        </w:rPr>
      </w:pPr>
    </w:p>
    <w:p w14:paraId="0ECE295E">
      <w:pPr>
        <w:pStyle w:val="10"/>
        <w:ind w:left="0"/>
        <w:jc w:val="center"/>
        <w:rPr>
          <w:rFonts w:cs="Arial"/>
          <w:sz w:val="28"/>
        </w:rPr>
      </w:pPr>
      <w:r>
        <w:rPr>
          <w:rFonts w:cs="Arial"/>
          <w:sz w:val="28"/>
        </w:rPr>
        <w:t>Name: XXX</w:t>
      </w:r>
    </w:p>
    <w:p w14:paraId="1615ADE1">
      <w:pPr>
        <w:pStyle w:val="10"/>
        <w:ind w:left="0"/>
        <w:jc w:val="center"/>
        <w:rPr>
          <w:rFonts w:cs="Arial"/>
          <w:sz w:val="28"/>
        </w:rPr>
      </w:pPr>
      <w:r>
        <w:rPr>
          <w:rFonts w:cs="Arial"/>
          <w:sz w:val="28"/>
        </w:rPr>
        <w:t xml:space="preserve">Matric No: </w:t>
      </w:r>
    </w:p>
    <w:p w14:paraId="07F5BB94">
      <w:pPr>
        <w:spacing w:after="120" w:line="264" w:lineRule="auto"/>
        <w:rPr>
          <w:rFonts w:eastAsia="Calibri"/>
          <w:color w:val="102738"/>
          <w:sz w:val="21"/>
          <w:szCs w:val="21"/>
        </w:rPr>
      </w:pPr>
      <w:r>
        <w:br w:type="page"/>
      </w:r>
    </w:p>
    <w:p w14:paraId="7929C7C5">
      <w:pPr>
        <w:spacing w:after="120" w:line="264" w:lineRule="auto"/>
        <w:rPr>
          <w:rFonts w:eastAsia="Calibri"/>
          <w:sz w:val="21"/>
          <w:szCs w:val="21"/>
        </w:rPr>
      </w:pPr>
    </w:p>
    <w:p w14:paraId="52E1DACF">
      <w:pPr>
        <w:keepNext/>
        <w:keepLines/>
        <w:pBdr>
          <w:bottom w:val="single" w:color="38A3A5" w:sz="4" w:space="1"/>
        </w:pBdr>
        <w:spacing w:before="400" w:after="40" w:line="240" w:lineRule="auto"/>
        <w:rPr>
          <w:rFonts w:eastAsia="Calibri"/>
          <w:b/>
          <w:color w:val="102738"/>
          <w:sz w:val="36"/>
          <w:szCs w:val="36"/>
        </w:rPr>
      </w:pPr>
      <w:r>
        <w:rPr>
          <w:rFonts w:eastAsia="Calibri"/>
          <w:b/>
          <w:color w:val="102738"/>
          <w:sz w:val="36"/>
          <w:szCs w:val="36"/>
        </w:rPr>
        <w:t>Table of Contents</w:t>
      </w:r>
    </w:p>
    <w:sdt>
      <w:sdtPr>
        <w:id w:val="1806119961"/>
        <w:docPartObj>
          <w:docPartGallery w:val="Table of Contents"/>
          <w:docPartUnique/>
        </w:docPartObj>
      </w:sdtPr>
      <w:sdtContent>
        <w:p w14:paraId="65977A9C">
          <w:pPr>
            <w:pStyle w:val="14"/>
            <w:tabs>
              <w:tab w:val="left" w:pos="720"/>
              <w:tab w:val="right" w:leader="dot" w:pos="9350"/>
            </w:tabs>
            <w:rPr>
              <w:rFonts w:asciiTheme="minorHAnsi" w:hAnsiTheme="minorHAnsi" w:eastAsiaTheme="minorEastAsia" w:cstheme="minorBidi"/>
              <w:kern w:val="2"/>
              <w:sz w:val="24"/>
              <w:szCs w:val="24"/>
              <w:lang w:val="en-MY"/>
              <w14:ligatures w14:val="standardContextual"/>
            </w:rPr>
          </w:pPr>
          <w:r>
            <w:fldChar w:fldCharType="begin"/>
          </w:r>
          <w:r>
            <w:instrText xml:space="preserve"> TOC \h \u \z \t "Heading 1,1,Heading 2,2,Heading 3,3,"</w:instrText>
          </w:r>
          <w:r>
            <w:fldChar w:fldCharType="separate"/>
          </w:r>
        </w:p>
        <w:p w14:paraId="7C165383">
          <w:pPr>
            <w:pStyle w:val="14"/>
            <w:tabs>
              <w:tab w:val="left" w:pos="480"/>
              <w:tab w:val="right" w:leader="dot" w:pos="9350"/>
            </w:tabs>
            <w:rPr>
              <w:rFonts w:asciiTheme="minorHAnsi" w:hAnsiTheme="minorHAnsi" w:eastAsiaTheme="minorEastAsia" w:cstheme="minorBidi"/>
              <w:kern w:val="2"/>
              <w:sz w:val="24"/>
              <w:szCs w:val="24"/>
              <w:lang w:val="en-MY"/>
              <w14:ligatures w14:val="standardContextual"/>
            </w:rPr>
          </w:pPr>
          <w:r>
            <w:fldChar w:fldCharType="begin"/>
          </w:r>
          <w:r>
            <w:instrText xml:space="preserve"> HYPERLINK \l "_Toc214615424" </w:instrText>
          </w:r>
          <w:r>
            <w:fldChar w:fldCharType="separate"/>
          </w:r>
          <w:r>
            <w:rPr>
              <w:rStyle w:val="11"/>
            </w:rPr>
            <w:t>1.</w:t>
          </w:r>
          <w:r>
            <w:rPr>
              <w:rFonts w:asciiTheme="minorHAnsi" w:hAnsiTheme="minorHAnsi" w:eastAsiaTheme="minorEastAsia" w:cstheme="minorBidi"/>
              <w:kern w:val="2"/>
              <w:sz w:val="24"/>
              <w:szCs w:val="24"/>
              <w:lang w:val="en-MY"/>
              <w14:ligatures w14:val="standardContextual"/>
            </w:rPr>
            <w:tab/>
          </w:r>
          <w:r>
            <w:rPr>
              <w:rStyle w:val="11"/>
            </w:rPr>
            <w:t>Test Summary</w:t>
          </w:r>
          <w:r>
            <w:tab/>
          </w:r>
          <w:r>
            <w:fldChar w:fldCharType="begin"/>
          </w:r>
          <w:r>
            <w:instrText xml:space="preserve"> PAGEREF _Toc214615424 \h </w:instrText>
          </w:r>
          <w:r>
            <w:fldChar w:fldCharType="separate"/>
          </w:r>
          <w:r>
            <w:t>3</w:t>
          </w:r>
          <w:r>
            <w:fldChar w:fldCharType="end"/>
          </w:r>
          <w:r>
            <w:fldChar w:fldCharType="end"/>
          </w:r>
        </w:p>
        <w:p w14:paraId="7F8EB036">
          <w:pPr>
            <w:pStyle w:val="14"/>
            <w:tabs>
              <w:tab w:val="left" w:pos="480"/>
              <w:tab w:val="right" w:leader="dot" w:pos="9350"/>
            </w:tabs>
            <w:rPr>
              <w:rFonts w:asciiTheme="minorHAnsi" w:hAnsiTheme="minorHAnsi" w:eastAsiaTheme="minorEastAsia" w:cstheme="minorBidi"/>
              <w:kern w:val="2"/>
              <w:sz w:val="24"/>
              <w:szCs w:val="24"/>
              <w:lang w:val="en-MY"/>
              <w14:ligatures w14:val="standardContextual"/>
            </w:rPr>
          </w:pPr>
          <w:r>
            <w:fldChar w:fldCharType="begin"/>
          </w:r>
          <w:r>
            <w:instrText xml:space="preserve"> HYPERLINK \l "_Toc214615425" </w:instrText>
          </w:r>
          <w:r>
            <w:fldChar w:fldCharType="separate"/>
          </w:r>
          <w:r>
            <w:rPr>
              <w:rStyle w:val="11"/>
            </w:rPr>
            <w:t>2.</w:t>
          </w:r>
          <w:r>
            <w:rPr>
              <w:rFonts w:asciiTheme="minorHAnsi" w:hAnsiTheme="minorHAnsi" w:eastAsiaTheme="minorEastAsia" w:cstheme="minorBidi"/>
              <w:kern w:val="2"/>
              <w:sz w:val="24"/>
              <w:szCs w:val="24"/>
              <w:lang w:val="en-MY"/>
              <w14:ligatures w14:val="standardContextual"/>
            </w:rPr>
            <w:tab/>
          </w:r>
          <w:r>
            <w:rPr>
              <w:rStyle w:val="11"/>
            </w:rPr>
            <w:t>Test Environment</w:t>
          </w:r>
          <w:r>
            <w:tab/>
          </w:r>
          <w:r>
            <w:fldChar w:fldCharType="begin"/>
          </w:r>
          <w:r>
            <w:instrText xml:space="preserve"> PAGEREF _Toc214615425 \h </w:instrText>
          </w:r>
          <w:r>
            <w:fldChar w:fldCharType="separate"/>
          </w:r>
          <w:r>
            <w:t>3</w:t>
          </w:r>
          <w:r>
            <w:fldChar w:fldCharType="end"/>
          </w:r>
          <w:r>
            <w:fldChar w:fldCharType="end"/>
          </w:r>
        </w:p>
        <w:p w14:paraId="200B0FEA">
          <w:pPr>
            <w:pStyle w:val="14"/>
            <w:tabs>
              <w:tab w:val="left" w:pos="480"/>
              <w:tab w:val="right" w:leader="dot" w:pos="9350"/>
            </w:tabs>
            <w:rPr>
              <w:rFonts w:asciiTheme="minorHAnsi" w:hAnsiTheme="minorHAnsi" w:eastAsiaTheme="minorEastAsia" w:cstheme="minorBidi"/>
              <w:kern w:val="2"/>
              <w:sz w:val="24"/>
              <w:szCs w:val="24"/>
              <w:lang w:val="en-MY"/>
              <w14:ligatures w14:val="standardContextual"/>
            </w:rPr>
          </w:pPr>
          <w:r>
            <w:fldChar w:fldCharType="begin"/>
          </w:r>
          <w:r>
            <w:instrText xml:space="preserve"> HYPERLINK \l "_Toc214615426" </w:instrText>
          </w:r>
          <w:r>
            <w:fldChar w:fldCharType="separate"/>
          </w:r>
          <w:r>
            <w:rPr>
              <w:rStyle w:val="11"/>
            </w:rPr>
            <w:t>3.</w:t>
          </w:r>
          <w:r>
            <w:rPr>
              <w:rFonts w:asciiTheme="minorHAnsi" w:hAnsiTheme="minorHAnsi" w:eastAsiaTheme="minorEastAsia" w:cstheme="minorBidi"/>
              <w:kern w:val="2"/>
              <w:sz w:val="24"/>
              <w:szCs w:val="24"/>
              <w:lang w:val="en-MY"/>
              <w14:ligatures w14:val="standardContextual"/>
            </w:rPr>
            <w:tab/>
          </w:r>
          <w:r>
            <w:rPr>
              <w:rStyle w:val="11"/>
            </w:rPr>
            <w:t>Defect Summary</w:t>
          </w:r>
          <w:r>
            <w:tab/>
          </w:r>
          <w:r>
            <w:fldChar w:fldCharType="begin"/>
          </w:r>
          <w:r>
            <w:instrText xml:space="preserve"> PAGEREF _Toc214615426 \h </w:instrText>
          </w:r>
          <w:r>
            <w:fldChar w:fldCharType="separate"/>
          </w:r>
          <w:r>
            <w:t>4</w:t>
          </w:r>
          <w:r>
            <w:fldChar w:fldCharType="end"/>
          </w:r>
          <w:r>
            <w:fldChar w:fldCharType="end"/>
          </w:r>
        </w:p>
        <w:p w14:paraId="636E4711">
          <w:pPr>
            <w:pStyle w:val="14"/>
            <w:tabs>
              <w:tab w:val="left" w:pos="480"/>
              <w:tab w:val="right" w:leader="dot" w:pos="9350"/>
            </w:tabs>
            <w:rPr>
              <w:rFonts w:asciiTheme="minorHAnsi" w:hAnsiTheme="minorHAnsi" w:eastAsiaTheme="minorEastAsia" w:cstheme="minorBidi"/>
              <w:kern w:val="2"/>
              <w:sz w:val="24"/>
              <w:szCs w:val="24"/>
              <w:lang w:val="en-MY"/>
              <w14:ligatures w14:val="standardContextual"/>
            </w:rPr>
          </w:pPr>
          <w:r>
            <w:fldChar w:fldCharType="begin"/>
          </w:r>
          <w:r>
            <w:instrText xml:space="preserve"> HYPERLINK \l "_Toc214615427" </w:instrText>
          </w:r>
          <w:r>
            <w:fldChar w:fldCharType="separate"/>
          </w:r>
          <w:r>
            <w:rPr>
              <w:rStyle w:val="11"/>
            </w:rPr>
            <w:t>4.</w:t>
          </w:r>
          <w:r>
            <w:rPr>
              <w:rFonts w:asciiTheme="minorHAnsi" w:hAnsiTheme="minorHAnsi" w:eastAsiaTheme="minorEastAsia" w:cstheme="minorBidi"/>
              <w:kern w:val="2"/>
              <w:sz w:val="24"/>
              <w:szCs w:val="24"/>
              <w:lang w:val="en-MY"/>
              <w14:ligatures w14:val="standardContextual"/>
            </w:rPr>
            <w:tab/>
          </w:r>
          <w:r>
            <w:rPr>
              <w:rStyle w:val="11"/>
            </w:rPr>
            <w:t>Conclusion</w:t>
          </w:r>
          <w:r>
            <w:tab/>
          </w:r>
          <w:r>
            <w:fldChar w:fldCharType="begin"/>
          </w:r>
          <w:r>
            <w:instrText xml:space="preserve"> PAGEREF _Toc214615427 \h </w:instrText>
          </w:r>
          <w:r>
            <w:fldChar w:fldCharType="separate"/>
          </w:r>
          <w:r>
            <w:t>4</w:t>
          </w:r>
          <w:r>
            <w:fldChar w:fldCharType="end"/>
          </w:r>
          <w:r>
            <w:fldChar w:fldCharType="end"/>
          </w:r>
        </w:p>
        <w:p w14:paraId="54C76544">
          <w:pPr>
            <w:widowControl w:val="0"/>
            <w:tabs>
              <w:tab w:val="right" w:leader="dot" w:pos="12000"/>
            </w:tabs>
            <w:spacing w:before="60" w:line="240" w:lineRule="auto"/>
            <w:rPr>
              <w:b/>
              <w:color w:val="000000"/>
            </w:rPr>
          </w:pPr>
          <w:r>
            <w:fldChar w:fldCharType="end"/>
          </w:r>
        </w:p>
      </w:sdtContent>
    </w:sdt>
    <w:p w14:paraId="0084C48A">
      <w:pPr>
        <w:spacing w:after="120" w:line="264" w:lineRule="auto"/>
        <w:rPr>
          <w:rFonts w:eastAsia="Calibri"/>
          <w:sz w:val="21"/>
          <w:szCs w:val="21"/>
        </w:rPr>
      </w:pPr>
      <w:r>
        <w:br w:type="page"/>
      </w:r>
    </w:p>
    <w:p w14:paraId="1848C888">
      <w:pPr>
        <w:pStyle w:val="25"/>
        <w:spacing w:before="0" w:line="360" w:lineRule="auto"/>
        <w:ind w:left="993"/>
        <w:rPr>
          <w:rFonts w:cs="Arial"/>
        </w:rPr>
      </w:pPr>
    </w:p>
    <w:p w14:paraId="1A8FCEA2">
      <w:pPr>
        <w:pStyle w:val="2"/>
        <w:spacing w:before="120"/>
        <w:rPr>
          <w:sz w:val="28"/>
        </w:rPr>
      </w:pPr>
      <w:bookmarkStart w:id="0" w:name="_Toc214615424"/>
      <w:r>
        <w:rPr>
          <w:sz w:val="28"/>
        </w:rPr>
        <w:t>1.</w:t>
      </w:r>
      <w:r>
        <w:rPr>
          <w:sz w:val="28"/>
        </w:rPr>
        <w:tab/>
      </w:r>
      <w:r>
        <w:rPr>
          <w:sz w:val="28"/>
        </w:rPr>
        <w:t>Test Summary</w:t>
      </w:r>
      <w:bookmarkEnd w:id="0"/>
    </w:p>
    <w:p w14:paraId="35781E4A">
      <w:pPr>
        <w:pStyle w:val="24"/>
        <w:rPr>
          <w:rFonts w:cs="Arial"/>
        </w:rPr>
      </w:pPr>
      <w:r>
        <w:rPr>
          <w:rFonts w:cs="Arial"/>
          <w:i w:val="0"/>
          <w:color w:val="000000"/>
        </w:rPr>
        <w:t>This section summarizes the testing performed on the 7NVENT Hotel Inventory Management System, covering 13 functional modules across 70 test cases. Testing combined static code review of all controllers and views, manual verification against a developer-recorded screen capture of live application use, direct verification of stored data through phpMyAdmin against the live MySQL schema, and live automated browser verification (headless Chrome via Puppeteer) performed in a later testing round for the QR Scanner and Theme/Global Layout modules. A per-module breakdown is provided in Table 1 below.</w:t>
      </w:r>
    </w:p>
    <w:p w14:paraId="67B7DFF3">
      <w:pPr>
        <w:pStyle w:val="24"/>
        <w:rPr>
          <w:rFonts w:cs="Arial"/>
        </w:rPr>
      </w:pPr>
    </w:p>
    <w:p w14:paraId="74151EA3">
      <w:pPr>
        <w:pStyle w:val="24"/>
        <w:numPr>
          <w:ilvl w:val="0"/>
          <w:numId w:val="1"/>
        </w:numPr>
        <w:rPr>
          <w:rFonts w:cs="Arial"/>
        </w:rPr>
      </w:pPr>
      <w:r>
        <w:rPr>
          <w:rFonts w:cs="Arial"/>
          <w:i w:val="0"/>
          <w:color w:val="000000"/>
        </w:rPr>
        <w:t>Total number of test cases: 70</w:t>
      </w:r>
    </w:p>
    <w:p w14:paraId="69454661">
      <w:pPr>
        <w:pStyle w:val="24"/>
        <w:numPr>
          <w:ilvl w:val="0"/>
          <w:numId w:val="1"/>
        </w:numPr>
        <w:rPr>
          <w:rFonts w:cs="Arial"/>
        </w:rPr>
      </w:pPr>
      <w:r>
        <w:rPr>
          <w:rFonts w:cs="Arial"/>
          <w:i w:val="0"/>
          <w:color w:val="000000"/>
        </w:rPr>
        <w:t>Test cases passed: 61 (87.1%)</w:t>
      </w:r>
    </w:p>
    <w:p w14:paraId="21A9D81F">
      <w:pPr>
        <w:pStyle w:val="24"/>
        <w:numPr>
          <w:ilvl w:val="0"/>
          <w:numId w:val="1"/>
        </w:numPr>
        <w:rPr>
          <w:rFonts w:cs="Arial"/>
        </w:rPr>
      </w:pPr>
      <w:r>
        <w:rPr>
          <w:rFonts w:cs="Arial"/>
          <w:i w:val="0"/>
          <w:color w:val="000000"/>
        </w:rPr>
        <w:t>Test cases failed: 8 (11.4%) — all 8 defects found were fixed and re-verified (see Section 3: Defect Summary)</w:t>
      </w:r>
    </w:p>
    <w:p w14:paraId="0BD4F1C9">
      <w:pPr>
        <w:pStyle w:val="24"/>
        <w:numPr>
          <w:ilvl w:val="0"/>
          <w:numId w:val="1"/>
        </w:numPr>
        <w:rPr>
          <w:rFonts w:cs="Arial"/>
        </w:rPr>
      </w:pPr>
      <w:r>
        <w:rPr>
          <w:rFonts w:cs="Arial"/>
          <w:i w:val="0"/>
          <w:color w:val="000000"/>
        </w:rPr>
        <w:t>Test cases blocked / not executed: 1 (1.4%) — full Bahasa Melayu translation coverage across every page could not be independently re-verified in a live browser session this cycle</w:t>
      </w:r>
    </w:p>
    <w:p w14:paraId="034C5B4E">
      <w:pPr>
        <w:pStyle w:val="24"/>
        <w:numPr>
          <w:ilvl w:val="0"/>
          <w:numId w:val="1"/>
        </w:numPr>
        <w:rPr>
          <w:rFonts w:cs="Arial"/>
        </w:rPr>
      </w:pPr>
      <w:r>
        <w:rPr>
          <w:rFonts w:cs="Arial"/>
          <w:i w:val="0"/>
          <w:color w:val="000000"/>
        </w:rPr>
        <w:t>Percentage coverage: 98.6% (69 of 70 planned test cases executed)</w:t>
      </w:r>
      <w:r>
        <w:rPr>
          <w:rFonts w:cs="Arial"/>
          <w:i w:val="0"/>
          <w:color w:val="000000"/>
        </w:rPr>
        <w:br w:type="textWrapping"/>
      </w:r>
    </w:p>
    <w:p w14:paraId="7BC4EBBF">
      <w:pPr>
        <w:spacing w:before="120" w:after="60"/>
        <w:rPr>
          <w:b/>
          <w:i/>
          <w:sz w:val="19"/>
        </w:rPr>
      </w:pPr>
      <w:r>
        <w:rPr>
          <w:b/>
          <w:i/>
          <w:sz w:val="19"/>
        </w:rPr>
        <w:t>Table 1: Test Case Summary by Module</w:t>
      </w:r>
    </w:p>
    <w:tbl>
      <w:tblPr>
        <w:tblStyle w:val="9"/>
        <w:tblW w:w="9360" w:type="dxa"/>
        <w:tblInd w:w="0" w:type="dxa"/>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Layout w:type="autofit"/>
        <w:tblCellMar>
          <w:top w:w="60" w:type="dxa"/>
          <w:left w:w="100" w:type="dxa"/>
          <w:bottom w:w="60" w:type="dxa"/>
          <w:right w:w="100" w:type="dxa"/>
        </w:tblCellMar>
      </w:tblPr>
      <w:tblGrid>
        <w:gridCol w:w="500"/>
        <w:gridCol w:w="3060"/>
        <w:gridCol w:w="1300"/>
        <w:gridCol w:w="1300"/>
        <w:gridCol w:w="1300"/>
        <w:gridCol w:w="1900"/>
      </w:tblGrid>
      <w:tr w14:paraId="38205EA4">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1F4E79"/>
            <w:vAlign w:val="center"/>
          </w:tcPr>
          <w:p w14:paraId="3911EA7C">
            <w:pPr>
              <w:jc w:val="center"/>
              <w:rPr>
                <w:b/>
                <w:color w:val="FFFFFF"/>
                <w:sz w:val="17"/>
                <w:szCs w:val="17"/>
              </w:rPr>
            </w:pPr>
            <w:r>
              <w:rPr>
                <w:b/>
                <w:color w:val="FFFFFF"/>
                <w:sz w:val="17"/>
                <w:szCs w:val="17"/>
              </w:rPr>
              <w:t>No</w:t>
            </w:r>
          </w:p>
        </w:tc>
        <w:tc>
          <w:tcPr>
            <w:tcW w:w="3060" w:type="dxa"/>
            <w:shd w:val="clear" w:color="auto" w:fill="1F4E79"/>
            <w:vAlign w:val="center"/>
          </w:tcPr>
          <w:p w14:paraId="41C50A23">
            <w:pPr>
              <w:rPr>
                <w:b/>
                <w:color w:val="FFFFFF"/>
                <w:sz w:val="17"/>
                <w:szCs w:val="17"/>
              </w:rPr>
            </w:pPr>
            <w:r>
              <w:rPr>
                <w:b/>
                <w:color w:val="FFFFFF"/>
                <w:sz w:val="17"/>
                <w:szCs w:val="17"/>
              </w:rPr>
              <w:t>Module</w:t>
            </w:r>
          </w:p>
        </w:tc>
        <w:tc>
          <w:tcPr>
            <w:tcW w:w="1300" w:type="dxa"/>
            <w:shd w:val="clear" w:color="auto" w:fill="1F4E79"/>
            <w:vAlign w:val="center"/>
          </w:tcPr>
          <w:p w14:paraId="05B6B617">
            <w:pPr>
              <w:jc w:val="center"/>
              <w:rPr>
                <w:b/>
                <w:color w:val="FFFFFF"/>
                <w:sz w:val="17"/>
                <w:szCs w:val="17"/>
              </w:rPr>
            </w:pPr>
            <w:r>
              <w:rPr>
                <w:b/>
                <w:color w:val="FFFFFF"/>
                <w:sz w:val="17"/>
                <w:szCs w:val="17"/>
              </w:rPr>
              <w:t>Test Cases</w:t>
            </w:r>
          </w:p>
        </w:tc>
        <w:tc>
          <w:tcPr>
            <w:tcW w:w="1300" w:type="dxa"/>
            <w:shd w:val="clear" w:color="auto" w:fill="1F4E79"/>
            <w:vAlign w:val="center"/>
          </w:tcPr>
          <w:p w14:paraId="332809DD">
            <w:pPr>
              <w:jc w:val="center"/>
              <w:rPr>
                <w:b/>
                <w:color w:val="FFFFFF"/>
                <w:sz w:val="17"/>
                <w:szCs w:val="17"/>
              </w:rPr>
            </w:pPr>
            <w:r>
              <w:rPr>
                <w:b/>
                <w:color w:val="FFFFFF"/>
                <w:sz w:val="17"/>
                <w:szCs w:val="17"/>
              </w:rPr>
              <w:t>Passed</w:t>
            </w:r>
          </w:p>
        </w:tc>
        <w:tc>
          <w:tcPr>
            <w:tcW w:w="1300" w:type="dxa"/>
            <w:shd w:val="clear" w:color="auto" w:fill="1F4E79"/>
            <w:vAlign w:val="center"/>
          </w:tcPr>
          <w:p w14:paraId="2BE82577">
            <w:pPr>
              <w:jc w:val="center"/>
              <w:rPr>
                <w:b/>
                <w:color w:val="FFFFFF"/>
                <w:sz w:val="17"/>
                <w:szCs w:val="17"/>
              </w:rPr>
            </w:pPr>
            <w:r>
              <w:rPr>
                <w:b/>
                <w:color w:val="FFFFFF"/>
                <w:sz w:val="17"/>
                <w:szCs w:val="17"/>
              </w:rPr>
              <w:t>Failed</w:t>
            </w:r>
          </w:p>
        </w:tc>
        <w:tc>
          <w:tcPr>
            <w:tcW w:w="1900" w:type="dxa"/>
            <w:shd w:val="clear" w:color="auto" w:fill="1F4E79"/>
            <w:vAlign w:val="center"/>
          </w:tcPr>
          <w:p w14:paraId="0109392D">
            <w:pPr>
              <w:jc w:val="center"/>
              <w:rPr>
                <w:b/>
                <w:color w:val="FFFFFF"/>
                <w:sz w:val="17"/>
                <w:szCs w:val="17"/>
              </w:rPr>
            </w:pPr>
            <w:r>
              <w:rPr>
                <w:b/>
                <w:color w:val="FFFFFF"/>
                <w:sz w:val="17"/>
                <w:szCs w:val="17"/>
              </w:rPr>
              <w:t>Blocked / Not Executed</w:t>
            </w:r>
          </w:p>
        </w:tc>
      </w:tr>
      <w:tr w14:paraId="2B9D8C97">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744B1A32">
            <w:pPr>
              <w:jc w:val="center"/>
              <w:rPr>
                <w:sz w:val="17"/>
                <w:szCs w:val="17"/>
              </w:rPr>
            </w:pPr>
            <w:r>
              <w:rPr>
                <w:sz w:val="17"/>
                <w:szCs w:val="17"/>
              </w:rPr>
              <w:t>1</w:t>
            </w:r>
          </w:p>
        </w:tc>
        <w:tc>
          <w:tcPr>
            <w:tcW w:w="3060" w:type="dxa"/>
            <w:vAlign w:val="center"/>
          </w:tcPr>
          <w:p w14:paraId="67863F5D">
            <w:pPr>
              <w:rPr>
                <w:sz w:val="17"/>
                <w:szCs w:val="17"/>
              </w:rPr>
            </w:pPr>
            <w:r>
              <w:rPr>
                <w:sz w:val="17"/>
                <w:szCs w:val="17"/>
              </w:rPr>
              <w:t>Login &amp; Authentication</w:t>
            </w:r>
          </w:p>
        </w:tc>
        <w:tc>
          <w:tcPr>
            <w:tcW w:w="1300" w:type="dxa"/>
            <w:vAlign w:val="center"/>
          </w:tcPr>
          <w:p w14:paraId="27E0458E">
            <w:pPr>
              <w:jc w:val="center"/>
              <w:rPr>
                <w:sz w:val="17"/>
                <w:szCs w:val="17"/>
              </w:rPr>
            </w:pPr>
            <w:r>
              <w:rPr>
                <w:sz w:val="17"/>
                <w:szCs w:val="17"/>
              </w:rPr>
              <w:t>5</w:t>
            </w:r>
          </w:p>
        </w:tc>
        <w:tc>
          <w:tcPr>
            <w:tcW w:w="1300" w:type="dxa"/>
            <w:vAlign w:val="center"/>
          </w:tcPr>
          <w:p w14:paraId="559B592C">
            <w:pPr>
              <w:jc w:val="center"/>
              <w:rPr>
                <w:sz w:val="17"/>
                <w:szCs w:val="17"/>
              </w:rPr>
            </w:pPr>
            <w:r>
              <w:rPr>
                <w:sz w:val="17"/>
                <w:szCs w:val="17"/>
              </w:rPr>
              <w:t>5</w:t>
            </w:r>
          </w:p>
        </w:tc>
        <w:tc>
          <w:tcPr>
            <w:tcW w:w="1300" w:type="dxa"/>
            <w:vAlign w:val="center"/>
          </w:tcPr>
          <w:p w14:paraId="39A0C632">
            <w:pPr>
              <w:jc w:val="center"/>
              <w:rPr>
                <w:sz w:val="17"/>
                <w:szCs w:val="17"/>
              </w:rPr>
            </w:pPr>
            <w:r>
              <w:rPr>
                <w:sz w:val="17"/>
                <w:szCs w:val="17"/>
              </w:rPr>
              <w:t>0</w:t>
            </w:r>
          </w:p>
        </w:tc>
        <w:tc>
          <w:tcPr>
            <w:tcW w:w="1900" w:type="dxa"/>
            <w:vAlign w:val="center"/>
          </w:tcPr>
          <w:p w14:paraId="7756E9AC">
            <w:pPr>
              <w:jc w:val="center"/>
              <w:rPr>
                <w:sz w:val="17"/>
                <w:szCs w:val="17"/>
              </w:rPr>
            </w:pPr>
            <w:r>
              <w:rPr>
                <w:sz w:val="17"/>
                <w:szCs w:val="17"/>
              </w:rPr>
              <w:t>0</w:t>
            </w:r>
          </w:p>
        </w:tc>
      </w:tr>
      <w:tr w14:paraId="4C43056E">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EDF2F9"/>
            <w:vAlign w:val="center"/>
          </w:tcPr>
          <w:p w14:paraId="2DE86B00">
            <w:pPr>
              <w:jc w:val="center"/>
              <w:rPr>
                <w:sz w:val="17"/>
                <w:szCs w:val="17"/>
              </w:rPr>
            </w:pPr>
            <w:r>
              <w:rPr>
                <w:sz w:val="17"/>
                <w:szCs w:val="17"/>
              </w:rPr>
              <w:t>2</w:t>
            </w:r>
          </w:p>
        </w:tc>
        <w:tc>
          <w:tcPr>
            <w:tcW w:w="3060" w:type="dxa"/>
            <w:shd w:val="clear" w:color="auto" w:fill="EDF2F9"/>
            <w:vAlign w:val="center"/>
          </w:tcPr>
          <w:p w14:paraId="080156BB">
            <w:pPr>
              <w:rPr>
                <w:sz w:val="17"/>
                <w:szCs w:val="17"/>
              </w:rPr>
            </w:pPr>
            <w:r>
              <w:rPr>
                <w:sz w:val="17"/>
                <w:szCs w:val="17"/>
              </w:rPr>
              <w:t>Dashboard &amp; Analytics</w:t>
            </w:r>
          </w:p>
        </w:tc>
        <w:tc>
          <w:tcPr>
            <w:tcW w:w="1300" w:type="dxa"/>
            <w:shd w:val="clear" w:color="auto" w:fill="EDF2F9"/>
            <w:vAlign w:val="center"/>
          </w:tcPr>
          <w:p w14:paraId="29FB5118">
            <w:pPr>
              <w:jc w:val="center"/>
              <w:rPr>
                <w:sz w:val="17"/>
                <w:szCs w:val="17"/>
              </w:rPr>
            </w:pPr>
            <w:r>
              <w:rPr>
                <w:sz w:val="17"/>
                <w:szCs w:val="17"/>
              </w:rPr>
              <w:t>6</w:t>
            </w:r>
          </w:p>
        </w:tc>
        <w:tc>
          <w:tcPr>
            <w:tcW w:w="1300" w:type="dxa"/>
            <w:shd w:val="clear" w:color="auto" w:fill="EDF2F9"/>
            <w:vAlign w:val="center"/>
          </w:tcPr>
          <w:p w14:paraId="774184CB">
            <w:pPr>
              <w:jc w:val="center"/>
              <w:rPr>
                <w:sz w:val="17"/>
                <w:szCs w:val="17"/>
              </w:rPr>
            </w:pPr>
            <w:r>
              <w:rPr>
                <w:sz w:val="17"/>
                <w:szCs w:val="17"/>
              </w:rPr>
              <w:t>6</w:t>
            </w:r>
          </w:p>
        </w:tc>
        <w:tc>
          <w:tcPr>
            <w:tcW w:w="1300" w:type="dxa"/>
            <w:shd w:val="clear" w:color="auto" w:fill="EDF2F9"/>
            <w:vAlign w:val="center"/>
          </w:tcPr>
          <w:p w14:paraId="6AC2278D">
            <w:pPr>
              <w:jc w:val="center"/>
              <w:rPr>
                <w:sz w:val="17"/>
                <w:szCs w:val="17"/>
              </w:rPr>
            </w:pPr>
            <w:r>
              <w:rPr>
                <w:sz w:val="17"/>
                <w:szCs w:val="17"/>
              </w:rPr>
              <w:t>0</w:t>
            </w:r>
          </w:p>
        </w:tc>
        <w:tc>
          <w:tcPr>
            <w:tcW w:w="1900" w:type="dxa"/>
            <w:shd w:val="clear" w:color="auto" w:fill="EDF2F9"/>
            <w:vAlign w:val="center"/>
          </w:tcPr>
          <w:p w14:paraId="209C3842">
            <w:pPr>
              <w:jc w:val="center"/>
              <w:rPr>
                <w:sz w:val="17"/>
                <w:szCs w:val="17"/>
              </w:rPr>
            </w:pPr>
            <w:r>
              <w:rPr>
                <w:sz w:val="17"/>
                <w:szCs w:val="17"/>
              </w:rPr>
              <w:t>0</w:t>
            </w:r>
          </w:p>
        </w:tc>
      </w:tr>
      <w:tr w14:paraId="6AC81B30">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48171CBC">
            <w:pPr>
              <w:jc w:val="center"/>
              <w:rPr>
                <w:sz w:val="17"/>
                <w:szCs w:val="17"/>
              </w:rPr>
            </w:pPr>
            <w:r>
              <w:rPr>
                <w:sz w:val="17"/>
                <w:szCs w:val="17"/>
              </w:rPr>
              <w:t>3</w:t>
            </w:r>
          </w:p>
        </w:tc>
        <w:tc>
          <w:tcPr>
            <w:tcW w:w="3060" w:type="dxa"/>
            <w:vAlign w:val="center"/>
          </w:tcPr>
          <w:p w14:paraId="617F881E">
            <w:pPr>
              <w:rPr>
                <w:sz w:val="17"/>
                <w:szCs w:val="17"/>
              </w:rPr>
            </w:pPr>
            <w:r>
              <w:rPr>
                <w:sz w:val="17"/>
                <w:szCs w:val="17"/>
              </w:rPr>
              <w:t>Inventory Management (CRUD)</w:t>
            </w:r>
          </w:p>
        </w:tc>
        <w:tc>
          <w:tcPr>
            <w:tcW w:w="1300" w:type="dxa"/>
            <w:vAlign w:val="center"/>
          </w:tcPr>
          <w:p w14:paraId="72ECA47E">
            <w:pPr>
              <w:jc w:val="center"/>
              <w:rPr>
                <w:sz w:val="17"/>
                <w:szCs w:val="17"/>
              </w:rPr>
            </w:pPr>
            <w:r>
              <w:rPr>
                <w:sz w:val="17"/>
                <w:szCs w:val="17"/>
              </w:rPr>
              <w:t>8</w:t>
            </w:r>
          </w:p>
        </w:tc>
        <w:tc>
          <w:tcPr>
            <w:tcW w:w="1300" w:type="dxa"/>
            <w:vAlign w:val="center"/>
          </w:tcPr>
          <w:p w14:paraId="56BFCD9C">
            <w:pPr>
              <w:jc w:val="center"/>
              <w:rPr>
                <w:sz w:val="17"/>
                <w:szCs w:val="17"/>
              </w:rPr>
            </w:pPr>
            <w:r>
              <w:rPr>
                <w:sz w:val="17"/>
                <w:szCs w:val="17"/>
              </w:rPr>
              <w:t>7</w:t>
            </w:r>
          </w:p>
        </w:tc>
        <w:tc>
          <w:tcPr>
            <w:tcW w:w="1300" w:type="dxa"/>
            <w:vAlign w:val="center"/>
          </w:tcPr>
          <w:p w14:paraId="5768B70C">
            <w:pPr>
              <w:jc w:val="center"/>
              <w:rPr>
                <w:sz w:val="17"/>
                <w:szCs w:val="17"/>
              </w:rPr>
            </w:pPr>
            <w:r>
              <w:rPr>
                <w:sz w:val="17"/>
                <w:szCs w:val="17"/>
              </w:rPr>
              <w:t>1</w:t>
            </w:r>
          </w:p>
        </w:tc>
        <w:tc>
          <w:tcPr>
            <w:tcW w:w="1900" w:type="dxa"/>
            <w:vAlign w:val="center"/>
          </w:tcPr>
          <w:p w14:paraId="42A009CA">
            <w:pPr>
              <w:jc w:val="center"/>
              <w:rPr>
                <w:sz w:val="17"/>
                <w:szCs w:val="17"/>
              </w:rPr>
            </w:pPr>
            <w:r>
              <w:rPr>
                <w:sz w:val="17"/>
                <w:szCs w:val="17"/>
              </w:rPr>
              <w:t>0</w:t>
            </w:r>
          </w:p>
        </w:tc>
      </w:tr>
      <w:tr w14:paraId="6E9622D1">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EDF2F9"/>
            <w:vAlign w:val="center"/>
          </w:tcPr>
          <w:p w14:paraId="3000A713">
            <w:pPr>
              <w:jc w:val="center"/>
              <w:rPr>
                <w:sz w:val="17"/>
                <w:szCs w:val="17"/>
              </w:rPr>
            </w:pPr>
            <w:r>
              <w:rPr>
                <w:sz w:val="17"/>
                <w:szCs w:val="17"/>
              </w:rPr>
              <w:t>4</w:t>
            </w:r>
          </w:p>
        </w:tc>
        <w:tc>
          <w:tcPr>
            <w:tcW w:w="3060" w:type="dxa"/>
            <w:shd w:val="clear" w:color="auto" w:fill="EDF2F9"/>
            <w:vAlign w:val="center"/>
          </w:tcPr>
          <w:p w14:paraId="5D247195">
            <w:pPr>
              <w:rPr>
                <w:sz w:val="17"/>
                <w:szCs w:val="17"/>
              </w:rPr>
            </w:pPr>
            <w:r>
              <w:rPr>
                <w:sz w:val="17"/>
                <w:szCs w:val="17"/>
              </w:rPr>
              <w:t>Purchase Orders</w:t>
            </w:r>
          </w:p>
        </w:tc>
        <w:tc>
          <w:tcPr>
            <w:tcW w:w="1300" w:type="dxa"/>
            <w:shd w:val="clear" w:color="auto" w:fill="EDF2F9"/>
            <w:vAlign w:val="center"/>
          </w:tcPr>
          <w:p w14:paraId="27576A8C">
            <w:pPr>
              <w:jc w:val="center"/>
              <w:rPr>
                <w:sz w:val="17"/>
                <w:szCs w:val="17"/>
              </w:rPr>
            </w:pPr>
            <w:r>
              <w:rPr>
                <w:sz w:val="17"/>
                <w:szCs w:val="17"/>
              </w:rPr>
              <w:t>7</w:t>
            </w:r>
          </w:p>
        </w:tc>
        <w:tc>
          <w:tcPr>
            <w:tcW w:w="1300" w:type="dxa"/>
            <w:shd w:val="clear" w:color="auto" w:fill="EDF2F9"/>
            <w:vAlign w:val="center"/>
          </w:tcPr>
          <w:p w14:paraId="2D400CA2">
            <w:pPr>
              <w:jc w:val="center"/>
              <w:rPr>
                <w:sz w:val="17"/>
                <w:szCs w:val="17"/>
              </w:rPr>
            </w:pPr>
            <w:r>
              <w:rPr>
                <w:sz w:val="17"/>
                <w:szCs w:val="17"/>
              </w:rPr>
              <w:t>7</w:t>
            </w:r>
          </w:p>
        </w:tc>
        <w:tc>
          <w:tcPr>
            <w:tcW w:w="1300" w:type="dxa"/>
            <w:shd w:val="clear" w:color="auto" w:fill="EDF2F9"/>
            <w:vAlign w:val="center"/>
          </w:tcPr>
          <w:p w14:paraId="00870B3F">
            <w:pPr>
              <w:jc w:val="center"/>
              <w:rPr>
                <w:sz w:val="17"/>
                <w:szCs w:val="17"/>
              </w:rPr>
            </w:pPr>
            <w:r>
              <w:rPr>
                <w:sz w:val="17"/>
                <w:szCs w:val="17"/>
              </w:rPr>
              <w:t>0</w:t>
            </w:r>
          </w:p>
        </w:tc>
        <w:tc>
          <w:tcPr>
            <w:tcW w:w="1900" w:type="dxa"/>
            <w:shd w:val="clear" w:color="auto" w:fill="EDF2F9"/>
            <w:vAlign w:val="center"/>
          </w:tcPr>
          <w:p w14:paraId="51654139">
            <w:pPr>
              <w:jc w:val="center"/>
              <w:rPr>
                <w:sz w:val="17"/>
                <w:szCs w:val="17"/>
              </w:rPr>
            </w:pPr>
            <w:r>
              <w:rPr>
                <w:sz w:val="17"/>
                <w:szCs w:val="17"/>
              </w:rPr>
              <w:t>0</w:t>
            </w:r>
          </w:p>
        </w:tc>
      </w:tr>
      <w:tr w14:paraId="1C6627FC">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5CAF6199">
            <w:pPr>
              <w:jc w:val="center"/>
              <w:rPr>
                <w:sz w:val="17"/>
                <w:szCs w:val="17"/>
              </w:rPr>
            </w:pPr>
            <w:r>
              <w:rPr>
                <w:sz w:val="17"/>
                <w:szCs w:val="17"/>
              </w:rPr>
              <w:t>5</w:t>
            </w:r>
          </w:p>
        </w:tc>
        <w:tc>
          <w:tcPr>
            <w:tcW w:w="3060" w:type="dxa"/>
            <w:vAlign w:val="center"/>
          </w:tcPr>
          <w:p w14:paraId="72EC1864">
            <w:pPr>
              <w:rPr>
                <w:sz w:val="17"/>
                <w:szCs w:val="17"/>
              </w:rPr>
            </w:pPr>
            <w:r>
              <w:rPr>
                <w:sz w:val="17"/>
                <w:szCs w:val="17"/>
              </w:rPr>
              <w:t>Alerts &amp; Notifications</w:t>
            </w:r>
          </w:p>
        </w:tc>
        <w:tc>
          <w:tcPr>
            <w:tcW w:w="1300" w:type="dxa"/>
            <w:vAlign w:val="center"/>
          </w:tcPr>
          <w:p w14:paraId="09C7C8E8">
            <w:pPr>
              <w:jc w:val="center"/>
              <w:rPr>
                <w:sz w:val="17"/>
                <w:szCs w:val="17"/>
              </w:rPr>
            </w:pPr>
            <w:r>
              <w:rPr>
                <w:sz w:val="17"/>
                <w:szCs w:val="17"/>
              </w:rPr>
              <w:t>6</w:t>
            </w:r>
          </w:p>
        </w:tc>
        <w:tc>
          <w:tcPr>
            <w:tcW w:w="1300" w:type="dxa"/>
            <w:vAlign w:val="center"/>
          </w:tcPr>
          <w:p w14:paraId="509BA2A3">
            <w:pPr>
              <w:jc w:val="center"/>
              <w:rPr>
                <w:sz w:val="17"/>
                <w:szCs w:val="17"/>
              </w:rPr>
            </w:pPr>
            <w:r>
              <w:rPr>
                <w:sz w:val="17"/>
                <w:szCs w:val="17"/>
              </w:rPr>
              <w:t>5</w:t>
            </w:r>
          </w:p>
        </w:tc>
        <w:tc>
          <w:tcPr>
            <w:tcW w:w="1300" w:type="dxa"/>
            <w:vAlign w:val="center"/>
          </w:tcPr>
          <w:p w14:paraId="4D59795E">
            <w:pPr>
              <w:jc w:val="center"/>
              <w:rPr>
                <w:sz w:val="17"/>
                <w:szCs w:val="17"/>
              </w:rPr>
            </w:pPr>
            <w:r>
              <w:rPr>
                <w:sz w:val="17"/>
                <w:szCs w:val="17"/>
              </w:rPr>
              <w:t>1</w:t>
            </w:r>
          </w:p>
        </w:tc>
        <w:tc>
          <w:tcPr>
            <w:tcW w:w="1900" w:type="dxa"/>
            <w:vAlign w:val="center"/>
          </w:tcPr>
          <w:p w14:paraId="50499D61">
            <w:pPr>
              <w:jc w:val="center"/>
              <w:rPr>
                <w:sz w:val="17"/>
                <w:szCs w:val="17"/>
              </w:rPr>
            </w:pPr>
            <w:r>
              <w:rPr>
                <w:sz w:val="17"/>
                <w:szCs w:val="17"/>
              </w:rPr>
              <w:t>0</w:t>
            </w:r>
          </w:p>
        </w:tc>
      </w:tr>
      <w:tr w14:paraId="4DB115F1">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EDF2F9"/>
            <w:vAlign w:val="center"/>
          </w:tcPr>
          <w:p w14:paraId="0A1BC554">
            <w:pPr>
              <w:jc w:val="center"/>
              <w:rPr>
                <w:sz w:val="17"/>
                <w:szCs w:val="17"/>
              </w:rPr>
            </w:pPr>
            <w:r>
              <w:rPr>
                <w:sz w:val="17"/>
                <w:szCs w:val="17"/>
              </w:rPr>
              <w:t>6</w:t>
            </w:r>
          </w:p>
        </w:tc>
        <w:tc>
          <w:tcPr>
            <w:tcW w:w="3060" w:type="dxa"/>
            <w:shd w:val="clear" w:color="auto" w:fill="EDF2F9"/>
            <w:vAlign w:val="center"/>
          </w:tcPr>
          <w:p w14:paraId="7CC04E8E">
            <w:pPr>
              <w:rPr>
                <w:sz w:val="17"/>
                <w:szCs w:val="17"/>
              </w:rPr>
            </w:pPr>
            <w:r>
              <w:rPr>
                <w:sz w:val="17"/>
                <w:szCs w:val="17"/>
              </w:rPr>
              <w:t>Suppliers Management</w:t>
            </w:r>
          </w:p>
        </w:tc>
        <w:tc>
          <w:tcPr>
            <w:tcW w:w="1300" w:type="dxa"/>
            <w:shd w:val="clear" w:color="auto" w:fill="EDF2F9"/>
            <w:vAlign w:val="center"/>
          </w:tcPr>
          <w:p w14:paraId="7A126986">
            <w:pPr>
              <w:jc w:val="center"/>
              <w:rPr>
                <w:sz w:val="17"/>
                <w:szCs w:val="17"/>
              </w:rPr>
            </w:pPr>
            <w:r>
              <w:rPr>
                <w:sz w:val="17"/>
                <w:szCs w:val="17"/>
              </w:rPr>
              <w:t>5</w:t>
            </w:r>
          </w:p>
        </w:tc>
        <w:tc>
          <w:tcPr>
            <w:tcW w:w="1300" w:type="dxa"/>
            <w:shd w:val="clear" w:color="auto" w:fill="EDF2F9"/>
            <w:vAlign w:val="center"/>
          </w:tcPr>
          <w:p w14:paraId="314074F2">
            <w:pPr>
              <w:jc w:val="center"/>
              <w:rPr>
                <w:sz w:val="17"/>
                <w:szCs w:val="17"/>
              </w:rPr>
            </w:pPr>
            <w:r>
              <w:rPr>
                <w:sz w:val="17"/>
                <w:szCs w:val="17"/>
              </w:rPr>
              <w:t>5</w:t>
            </w:r>
          </w:p>
        </w:tc>
        <w:tc>
          <w:tcPr>
            <w:tcW w:w="1300" w:type="dxa"/>
            <w:shd w:val="clear" w:color="auto" w:fill="EDF2F9"/>
            <w:vAlign w:val="center"/>
          </w:tcPr>
          <w:p w14:paraId="5903272B">
            <w:pPr>
              <w:jc w:val="center"/>
              <w:rPr>
                <w:sz w:val="17"/>
                <w:szCs w:val="17"/>
              </w:rPr>
            </w:pPr>
            <w:r>
              <w:rPr>
                <w:sz w:val="17"/>
                <w:szCs w:val="17"/>
              </w:rPr>
              <w:t>0</w:t>
            </w:r>
          </w:p>
        </w:tc>
        <w:tc>
          <w:tcPr>
            <w:tcW w:w="1900" w:type="dxa"/>
            <w:shd w:val="clear" w:color="auto" w:fill="EDF2F9"/>
            <w:vAlign w:val="center"/>
          </w:tcPr>
          <w:p w14:paraId="3BCF6016">
            <w:pPr>
              <w:jc w:val="center"/>
              <w:rPr>
                <w:sz w:val="17"/>
                <w:szCs w:val="17"/>
              </w:rPr>
            </w:pPr>
            <w:r>
              <w:rPr>
                <w:sz w:val="17"/>
                <w:szCs w:val="17"/>
              </w:rPr>
              <w:t>0</w:t>
            </w:r>
          </w:p>
        </w:tc>
      </w:tr>
      <w:tr w14:paraId="5AE4FD42">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56FEB806">
            <w:pPr>
              <w:jc w:val="center"/>
              <w:rPr>
                <w:sz w:val="17"/>
                <w:szCs w:val="17"/>
              </w:rPr>
            </w:pPr>
            <w:r>
              <w:rPr>
                <w:sz w:val="17"/>
                <w:szCs w:val="17"/>
              </w:rPr>
              <w:t>7</w:t>
            </w:r>
          </w:p>
        </w:tc>
        <w:tc>
          <w:tcPr>
            <w:tcW w:w="3060" w:type="dxa"/>
            <w:vAlign w:val="center"/>
          </w:tcPr>
          <w:p w14:paraId="7DE090BC">
            <w:pPr>
              <w:rPr>
                <w:sz w:val="17"/>
                <w:szCs w:val="17"/>
              </w:rPr>
            </w:pPr>
            <w:r>
              <w:rPr>
                <w:sz w:val="17"/>
                <w:szCs w:val="17"/>
              </w:rPr>
              <w:t>Locations Management</w:t>
            </w:r>
          </w:p>
        </w:tc>
        <w:tc>
          <w:tcPr>
            <w:tcW w:w="1300" w:type="dxa"/>
            <w:vAlign w:val="center"/>
          </w:tcPr>
          <w:p w14:paraId="769CC2E1">
            <w:pPr>
              <w:jc w:val="center"/>
              <w:rPr>
                <w:sz w:val="17"/>
                <w:szCs w:val="17"/>
              </w:rPr>
            </w:pPr>
            <w:r>
              <w:rPr>
                <w:sz w:val="17"/>
                <w:szCs w:val="17"/>
              </w:rPr>
              <w:t>5</w:t>
            </w:r>
          </w:p>
        </w:tc>
        <w:tc>
          <w:tcPr>
            <w:tcW w:w="1300" w:type="dxa"/>
            <w:vAlign w:val="center"/>
          </w:tcPr>
          <w:p w14:paraId="5745FA3D">
            <w:pPr>
              <w:jc w:val="center"/>
              <w:rPr>
                <w:sz w:val="17"/>
                <w:szCs w:val="17"/>
              </w:rPr>
            </w:pPr>
            <w:r>
              <w:rPr>
                <w:sz w:val="17"/>
                <w:szCs w:val="17"/>
              </w:rPr>
              <w:t>5</w:t>
            </w:r>
          </w:p>
        </w:tc>
        <w:tc>
          <w:tcPr>
            <w:tcW w:w="1300" w:type="dxa"/>
            <w:vAlign w:val="center"/>
          </w:tcPr>
          <w:p w14:paraId="389D8269">
            <w:pPr>
              <w:jc w:val="center"/>
              <w:rPr>
                <w:sz w:val="17"/>
                <w:szCs w:val="17"/>
              </w:rPr>
            </w:pPr>
            <w:r>
              <w:rPr>
                <w:sz w:val="17"/>
                <w:szCs w:val="17"/>
              </w:rPr>
              <w:t>0</w:t>
            </w:r>
          </w:p>
        </w:tc>
        <w:tc>
          <w:tcPr>
            <w:tcW w:w="1900" w:type="dxa"/>
            <w:vAlign w:val="center"/>
          </w:tcPr>
          <w:p w14:paraId="0AB6429A">
            <w:pPr>
              <w:jc w:val="center"/>
              <w:rPr>
                <w:sz w:val="17"/>
                <w:szCs w:val="17"/>
              </w:rPr>
            </w:pPr>
            <w:r>
              <w:rPr>
                <w:sz w:val="17"/>
                <w:szCs w:val="17"/>
              </w:rPr>
              <w:t>0</w:t>
            </w:r>
          </w:p>
        </w:tc>
      </w:tr>
      <w:tr w14:paraId="63B06F99">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EDF2F9"/>
            <w:vAlign w:val="center"/>
          </w:tcPr>
          <w:p w14:paraId="2A5DA3F8">
            <w:pPr>
              <w:jc w:val="center"/>
              <w:rPr>
                <w:sz w:val="17"/>
                <w:szCs w:val="17"/>
              </w:rPr>
            </w:pPr>
            <w:r>
              <w:rPr>
                <w:sz w:val="17"/>
                <w:szCs w:val="17"/>
              </w:rPr>
              <w:t>8</w:t>
            </w:r>
          </w:p>
        </w:tc>
        <w:tc>
          <w:tcPr>
            <w:tcW w:w="3060" w:type="dxa"/>
            <w:shd w:val="clear" w:color="auto" w:fill="EDF2F9"/>
            <w:vAlign w:val="center"/>
          </w:tcPr>
          <w:p w14:paraId="253CB184">
            <w:pPr>
              <w:rPr>
                <w:sz w:val="17"/>
                <w:szCs w:val="17"/>
              </w:rPr>
            </w:pPr>
            <w:r>
              <w:rPr>
                <w:sz w:val="17"/>
                <w:szCs w:val="17"/>
              </w:rPr>
              <w:t>Reports Generation</w:t>
            </w:r>
          </w:p>
        </w:tc>
        <w:tc>
          <w:tcPr>
            <w:tcW w:w="1300" w:type="dxa"/>
            <w:shd w:val="clear" w:color="auto" w:fill="EDF2F9"/>
            <w:vAlign w:val="center"/>
          </w:tcPr>
          <w:p w14:paraId="0378659B">
            <w:pPr>
              <w:jc w:val="center"/>
              <w:rPr>
                <w:sz w:val="17"/>
                <w:szCs w:val="17"/>
              </w:rPr>
            </w:pPr>
            <w:r>
              <w:rPr>
                <w:sz w:val="17"/>
                <w:szCs w:val="17"/>
              </w:rPr>
              <w:t>4</w:t>
            </w:r>
          </w:p>
        </w:tc>
        <w:tc>
          <w:tcPr>
            <w:tcW w:w="1300" w:type="dxa"/>
            <w:shd w:val="clear" w:color="auto" w:fill="EDF2F9"/>
            <w:vAlign w:val="center"/>
          </w:tcPr>
          <w:p w14:paraId="1F356DB7">
            <w:pPr>
              <w:jc w:val="center"/>
              <w:rPr>
                <w:sz w:val="17"/>
                <w:szCs w:val="17"/>
              </w:rPr>
            </w:pPr>
            <w:r>
              <w:rPr>
                <w:sz w:val="17"/>
                <w:szCs w:val="17"/>
              </w:rPr>
              <w:t>4</w:t>
            </w:r>
          </w:p>
        </w:tc>
        <w:tc>
          <w:tcPr>
            <w:tcW w:w="1300" w:type="dxa"/>
            <w:shd w:val="clear" w:color="auto" w:fill="EDF2F9"/>
            <w:vAlign w:val="center"/>
          </w:tcPr>
          <w:p w14:paraId="4F69B92E">
            <w:pPr>
              <w:jc w:val="center"/>
              <w:rPr>
                <w:sz w:val="17"/>
                <w:szCs w:val="17"/>
              </w:rPr>
            </w:pPr>
            <w:r>
              <w:rPr>
                <w:sz w:val="17"/>
                <w:szCs w:val="17"/>
              </w:rPr>
              <w:t>0</w:t>
            </w:r>
          </w:p>
        </w:tc>
        <w:tc>
          <w:tcPr>
            <w:tcW w:w="1900" w:type="dxa"/>
            <w:shd w:val="clear" w:color="auto" w:fill="EDF2F9"/>
            <w:vAlign w:val="center"/>
          </w:tcPr>
          <w:p w14:paraId="133B18EB">
            <w:pPr>
              <w:jc w:val="center"/>
              <w:rPr>
                <w:sz w:val="17"/>
                <w:szCs w:val="17"/>
              </w:rPr>
            </w:pPr>
            <w:r>
              <w:rPr>
                <w:sz w:val="17"/>
                <w:szCs w:val="17"/>
              </w:rPr>
              <w:t>0</w:t>
            </w:r>
          </w:p>
        </w:tc>
      </w:tr>
      <w:tr w14:paraId="56FEDD5F">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341FB008">
            <w:pPr>
              <w:jc w:val="center"/>
              <w:rPr>
                <w:sz w:val="17"/>
                <w:szCs w:val="17"/>
              </w:rPr>
            </w:pPr>
            <w:r>
              <w:rPr>
                <w:sz w:val="17"/>
                <w:szCs w:val="17"/>
              </w:rPr>
              <w:t>9</w:t>
            </w:r>
          </w:p>
        </w:tc>
        <w:tc>
          <w:tcPr>
            <w:tcW w:w="3060" w:type="dxa"/>
            <w:vAlign w:val="center"/>
          </w:tcPr>
          <w:p w14:paraId="5D2C11B6">
            <w:pPr>
              <w:rPr>
                <w:sz w:val="17"/>
                <w:szCs w:val="17"/>
              </w:rPr>
            </w:pPr>
            <w:r>
              <w:rPr>
                <w:sz w:val="17"/>
                <w:szCs w:val="17"/>
              </w:rPr>
              <w:t>Users &amp; Roles (Access Control)</w:t>
            </w:r>
          </w:p>
        </w:tc>
        <w:tc>
          <w:tcPr>
            <w:tcW w:w="1300" w:type="dxa"/>
            <w:vAlign w:val="center"/>
          </w:tcPr>
          <w:p w14:paraId="1D1B7E87">
            <w:pPr>
              <w:jc w:val="center"/>
              <w:rPr>
                <w:sz w:val="17"/>
                <w:szCs w:val="17"/>
              </w:rPr>
            </w:pPr>
            <w:r>
              <w:rPr>
                <w:sz w:val="17"/>
                <w:szCs w:val="17"/>
              </w:rPr>
              <w:t>5</w:t>
            </w:r>
          </w:p>
        </w:tc>
        <w:tc>
          <w:tcPr>
            <w:tcW w:w="1300" w:type="dxa"/>
            <w:vAlign w:val="center"/>
          </w:tcPr>
          <w:p w14:paraId="2D047599">
            <w:pPr>
              <w:jc w:val="center"/>
              <w:rPr>
                <w:sz w:val="17"/>
                <w:szCs w:val="17"/>
              </w:rPr>
            </w:pPr>
            <w:r>
              <w:rPr>
                <w:sz w:val="17"/>
                <w:szCs w:val="17"/>
              </w:rPr>
              <w:t>5</w:t>
            </w:r>
          </w:p>
        </w:tc>
        <w:tc>
          <w:tcPr>
            <w:tcW w:w="1300" w:type="dxa"/>
            <w:vAlign w:val="center"/>
          </w:tcPr>
          <w:p w14:paraId="6F12EF1B">
            <w:pPr>
              <w:jc w:val="center"/>
              <w:rPr>
                <w:sz w:val="17"/>
                <w:szCs w:val="17"/>
              </w:rPr>
            </w:pPr>
            <w:r>
              <w:rPr>
                <w:sz w:val="17"/>
                <w:szCs w:val="17"/>
              </w:rPr>
              <w:t>0</w:t>
            </w:r>
          </w:p>
        </w:tc>
        <w:tc>
          <w:tcPr>
            <w:tcW w:w="1900" w:type="dxa"/>
            <w:vAlign w:val="center"/>
          </w:tcPr>
          <w:p w14:paraId="322D059D">
            <w:pPr>
              <w:jc w:val="center"/>
              <w:rPr>
                <w:sz w:val="17"/>
                <w:szCs w:val="17"/>
              </w:rPr>
            </w:pPr>
            <w:r>
              <w:rPr>
                <w:sz w:val="17"/>
                <w:szCs w:val="17"/>
              </w:rPr>
              <w:t>0</w:t>
            </w:r>
          </w:p>
        </w:tc>
      </w:tr>
      <w:tr w14:paraId="097B2E12">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EDF2F9"/>
            <w:vAlign w:val="center"/>
          </w:tcPr>
          <w:p w14:paraId="353DEE8D">
            <w:pPr>
              <w:jc w:val="center"/>
              <w:rPr>
                <w:sz w:val="17"/>
                <w:szCs w:val="17"/>
              </w:rPr>
            </w:pPr>
            <w:r>
              <w:rPr>
                <w:sz w:val="17"/>
                <w:szCs w:val="17"/>
              </w:rPr>
              <w:t>10</w:t>
            </w:r>
          </w:p>
        </w:tc>
        <w:tc>
          <w:tcPr>
            <w:tcW w:w="3060" w:type="dxa"/>
            <w:shd w:val="clear" w:color="auto" w:fill="EDF2F9"/>
            <w:vAlign w:val="center"/>
          </w:tcPr>
          <w:p w14:paraId="58C9E20A">
            <w:pPr>
              <w:rPr>
                <w:sz w:val="17"/>
                <w:szCs w:val="17"/>
              </w:rPr>
            </w:pPr>
            <w:r>
              <w:rPr>
                <w:sz w:val="17"/>
                <w:szCs w:val="17"/>
              </w:rPr>
              <w:t>QR Code Scanner</w:t>
            </w:r>
          </w:p>
        </w:tc>
        <w:tc>
          <w:tcPr>
            <w:tcW w:w="1300" w:type="dxa"/>
            <w:shd w:val="clear" w:color="auto" w:fill="EDF2F9"/>
            <w:vAlign w:val="center"/>
          </w:tcPr>
          <w:p w14:paraId="7C7D3123">
            <w:pPr>
              <w:jc w:val="center"/>
              <w:rPr>
                <w:sz w:val="17"/>
                <w:szCs w:val="17"/>
              </w:rPr>
            </w:pPr>
            <w:r>
              <w:rPr>
                <w:sz w:val="17"/>
                <w:szCs w:val="17"/>
              </w:rPr>
              <w:t>5</w:t>
            </w:r>
          </w:p>
        </w:tc>
        <w:tc>
          <w:tcPr>
            <w:tcW w:w="1300" w:type="dxa"/>
            <w:shd w:val="clear" w:color="auto" w:fill="EDF2F9"/>
            <w:vAlign w:val="center"/>
          </w:tcPr>
          <w:p w14:paraId="23DB852B">
            <w:pPr>
              <w:jc w:val="center"/>
              <w:rPr>
                <w:sz w:val="17"/>
                <w:szCs w:val="17"/>
              </w:rPr>
            </w:pPr>
            <w:r>
              <w:rPr>
                <w:sz w:val="17"/>
                <w:szCs w:val="17"/>
              </w:rPr>
              <w:t>3</w:t>
            </w:r>
          </w:p>
        </w:tc>
        <w:tc>
          <w:tcPr>
            <w:tcW w:w="1300" w:type="dxa"/>
            <w:shd w:val="clear" w:color="auto" w:fill="EDF2F9"/>
            <w:vAlign w:val="center"/>
          </w:tcPr>
          <w:p w14:paraId="55EA229E">
            <w:pPr>
              <w:jc w:val="center"/>
              <w:rPr>
                <w:sz w:val="17"/>
                <w:szCs w:val="17"/>
              </w:rPr>
            </w:pPr>
            <w:r>
              <w:rPr>
                <w:sz w:val="17"/>
                <w:szCs w:val="17"/>
              </w:rPr>
              <w:t>2</w:t>
            </w:r>
          </w:p>
        </w:tc>
        <w:tc>
          <w:tcPr>
            <w:tcW w:w="1900" w:type="dxa"/>
            <w:shd w:val="clear" w:color="auto" w:fill="EDF2F9"/>
            <w:vAlign w:val="center"/>
          </w:tcPr>
          <w:p w14:paraId="1970A2F9">
            <w:pPr>
              <w:jc w:val="center"/>
              <w:rPr>
                <w:sz w:val="17"/>
                <w:szCs w:val="17"/>
              </w:rPr>
            </w:pPr>
            <w:r>
              <w:rPr>
                <w:sz w:val="17"/>
                <w:szCs w:val="17"/>
              </w:rPr>
              <w:t>0</w:t>
            </w:r>
          </w:p>
        </w:tc>
      </w:tr>
      <w:tr w14:paraId="0E1A232A">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625D47BC">
            <w:pPr>
              <w:jc w:val="center"/>
              <w:rPr>
                <w:sz w:val="17"/>
                <w:szCs w:val="17"/>
              </w:rPr>
            </w:pPr>
            <w:r>
              <w:rPr>
                <w:sz w:val="17"/>
                <w:szCs w:val="17"/>
              </w:rPr>
              <w:t>11</w:t>
            </w:r>
          </w:p>
        </w:tc>
        <w:tc>
          <w:tcPr>
            <w:tcW w:w="3060" w:type="dxa"/>
            <w:vAlign w:val="center"/>
          </w:tcPr>
          <w:p w14:paraId="6741F265">
            <w:pPr>
              <w:rPr>
                <w:sz w:val="17"/>
                <w:szCs w:val="17"/>
              </w:rPr>
            </w:pPr>
            <w:r>
              <w:rPr>
                <w:sz w:val="17"/>
                <w:szCs w:val="17"/>
              </w:rPr>
              <w:t>Theme (Dark/Light) &amp; Global Layout</w:t>
            </w:r>
          </w:p>
        </w:tc>
        <w:tc>
          <w:tcPr>
            <w:tcW w:w="1300" w:type="dxa"/>
            <w:vAlign w:val="center"/>
          </w:tcPr>
          <w:p w14:paraId="3D882AF5">
            <w:pPr>
              <w:jc w:val="center"/>
              <w:rPr>
                <w:sz w:val="17"/>
                <w:szCs w:val="17"/>
              </w:rPr>
            </w:pPr>
            <w:r>
              <w:rPr>
                <w:sz w:val="17"/>
                <w:szCs w:val="17"/>
              </w:rPr>
              <w:t>6</w:t>
            </w:r>
          </w:p>
        </w:tc>
        <w:tc>
          <w:tcPr>
            <w:tcW w:w="1300" w:type="dxa"/>
            <w:vAlign w:val="center"/>
          </w:tcPr>
          <w:p w14:paraId="3E02DB84">
            <w:pPr>
              <w:jc w:val="center"/>
              <w:rPr>
                <w:sz w:val="17"/>
                <w:szCs w:val="17"/>
              </w:rPr>
            </w:pPr>
            <w:r>
              <w:rPr>
                <w:sz w:val="17"/>
                <w:szCs w:val="17"/>
              </w:rPr>
              <w:t>4</w:t>
            </w:r>
          </w:p>
        </w:tc>
        <w:tc>
          <w:tcPr>
            <w:tcW w:w="1300" w:type="dxa"/>
            <w:vAlign w:val="center"/>
          </w:tcPr>
          <w:p w14:paraId="2E8CB6FA">
            <w:pPr>
              <w:jc w:val="center"/>
              <w:rPr>
                <w:sz w:val="17"/>
                <w:szCs w:val="17"/>
              </w:rPr>
            </w:pPr>
            <w:r>
              <w:rPr>
                <w:sz w:val="17"/>
                <w:szCs w:val="17"/>
              </w:rPr>
              <w:t>2</w:t>
            </w:r>
          </w:p>
        </w:tc>
        <w:tc>
          <w:tcPr>
            <w:tcW w:w="1900" w:type="dxa"/>
            <w:vAlign w:val="center"/>
          </w:tcPr>
          <w:p w14:paraId="1C6B4B76">
            <w:pPr>
              <w:jc w:val="center"/>
              <w:rPr>
                <w:sz w:val="17"/>
                <w:szCs w:val="17"/>
              </w:rPr>
            </w:pPr>
            <w:r>
              <w:rPr>
                <w:sz w:val="17"/>
                <w:szCs w:val="17"/>
              </w:rPr>
              <w:t>0</w:t>
            </w:r>
          </w:p>
        </w:tc>
      </w:tr>
      <w:tr w14:paraId="496D81E5">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EDF2F9"/>
            <w:vAlign w:val="center"/>
          </w:tcPr>
          <w:p w14:paraId="3C347708">
            <w:pPr>
              <w:jc w:val="center"/>
              <w:rPr>
                <w:sz w:val="17"/>
                <w:szCs w:val="17"/>
              </w:rPr>
            </w:pPr>
            <w:r>
              <w:rPr>
                <w:sz w:val="17"/>
                <w:szCs w:val="17"/>
              </w:rPr>
              <w:t>12</w:t>
            </w:r>
          </w:p>
        </w:tc>
        <w:tc>
          <w:tcPr>
            <w:tcW w:w="3060" w:type="dxa"/>
            <w:shd w:val="clear" w:color="auto" w:fill="EDF2F9"/>
            <w:vAlign w:val="center"/>
          </w:tcPr>
          <w:p w14:paraId="61613BC3">
            <w:pPr>
              <w:rPr>
                <w:sz w:val="17"/>
                <w:szCs w:val="17"/>
              </w:rPr>
            </w:pPr>
            <w:r>
              <w:rPr>
                <w:sz w:val="17"/>
                <w:szCs w:val="17"/>
              </w:rPr>
              <w:t>Multi-language (Bahasa Melayu) Translation</w:t>
            </w:r>
          </w:p>
        </w:tc>
        <w:tc>
          <w:tcPr>
            <w:tcW w:w="1300" w:type="dxa"/>
            <w:shd w:val="clear" w:color="auto" w:fill="EDF2F9"/>
            <w:vAlign w:val="center"/>
          </w:tcPr>
          <w:p w14:paraId="677B5F07">
            <w:pPr>
              <w:jc w:val="center"/>
              <w:rPr>
                <w:sz w:val="17"/>
                <w:szCs w:val="17"/>
              </w:rPr>
            </w:pPr>
            <w:r>
              <w:rPr>
                <w:sz w:val="17"/>
                <w:szCs w:val="17"/>
              </w:rPr>
              <w:t>5</w:t>
            </w:r>
          </w:p>
        </w:tc>
        <w:tc>
          <w:tcPr>
            <w:tcW w:w="1300" w:type="dxa"/>
            <w:shd w:val="clear" w:color="auto" w:fill="EDF2F9"/>
            <w:vAlign w:val="center"/>
          </w:tcPr>
          <w:p w14:paraId="7AFF42B4">
            <w:pPr>
              <w:jc w:val="center"/>
              <w:rPr>
                <w:sz w:val="17"/>
                <w:szCs w:val="17"/>
              </w:rPr>
            </w:pPr>
            <w:r>
              <w:rPr>
                <w:sz w:val="17"/>
                <w:szCs w:val="17"/>
              </w:rPr>
              <w:t>3</w:t>
            </w:r>
          </w:p>
        </w:tc>
        <w:tc>
          <w:tcPr>
            <w:tcW w:w="1300" w:type="dxa"/>
            <w:shd w:val="clear" w:color="auto" w:fill="EDF2F9"/>
            <w:vAlign w:val="center"/>
          </w:tcPr>
          <w:p w14:paraId="61F65CBF">
            <w:pPr>
              <w:jc w:val="center"/>
              <w:rPr>
                <w:sz w:val="17"/>
                <w:szCs w:val="17"/>
              </w:rPr>
            </w:pPr>
            <w:r>
              <w:rPr>
                <w:sz w:val="17"/>
                <w:szCs w:val="17"/>
              </w:rPr>
              <w:t>1</w:t>
            </w:r>
          </w:p>
        </w:tc>
        <w:tc>
          <w:tcPr>
            <w:tcW w:w="1900" w:type="dxa"/>
            <w:shd w:val="clear" w:color="auto" w:fill="EDF2F9"/>
            <w:vAlign w:val="center"/>
          </w:tcPr>
          <w:p w14:paraId="4AC90C1D">
            <w:pPr>
              <w:jc w:val="center"/>
              <w:rPr>
                <w:sz w:val="17"/>
                <w:szCs w:val="17"/>
              </w:rPr>
            </w:pPr>
            <w:r>
              <w:rPr>
                <w:sz w:val="17"/>
                <w:szCs w:val="17"/>
              </w:rPr>
              <w:t>1</w:t>
            </w:r>
          </w:p>
        </w:tc>
      </w:tr>
      <w:tr w14:paraId="5337A4D1">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vAlign w:val="center"/>
          </w:tcPr>
          <w:p w14:paraId="7C0052B6">
            <w:pPr>
              <w:jc w:val="center"/>
              <w:rPr>
                <w:sz w:val="17"/>
                <w:szCs w:val="17"/>
              </w:rPr>
            </w:pPr>
            <w:r>
              <w:rPr>
                <w:sz w:val="17"/>
                <w:szCs w:val="17"/>
              </w:rPr>
              <w:t>13</w:t>
            </w:r>
          </w:p>
        </w:tc>
        <w:tc>
          <w:tcPr>
            <w:tcW w:w="3060" w:type="dxa"/>
            <w:vAlign w:val="center"/>
          </w:tcPr>
          <w:p w14:paraId="226B9135">
            <w:pPr>
              <w:rPr>
                <w:sz w:val="17"/>
                <w:szCs w:val="17"/>
              </w:rPr>
            </w:pPr>
            <w:r>
              <w:rPr>
                <w:sz w:val="17"/>
                <w:szCs w:val="17"/>
              </w:rPr>
              <w:t>AI Chat Widget</w:t>
            </w:r>
          </w:p>
        </w:tc>
        <w:tc>
          <w:tcPr>
            <w:tcW w:w="1300" w:type="dxa"/>
            <w:vAlign w:val="center"/>
          </w:tcPr>
          <w:p w14:paraId="58A93FD1">
            <w:pPr>
              <w:jc w:val="center"/>
              <w:rPr>
                <w:sz w:val="17"/>
                <w:szCs w:val="17"/>
              </w:rPr>
            </w:pPr>
            <w:r>
              <w:rPr>
                <w:sz w:val="17"/>
                <w:szCs w:val="17"/>
              </w:rPr>
              <w:t>3</w:t>
            </w:r>
          </w:p>
        </w:tc>
        <w:tc>
          <w:tcPr>
            <w:tcW w:w="1300" w:type="dxa"/>
            <w:vAlign w:val="center"/>
          </w:tcPr>
          <w:p w14:paraId="2E3CD990">
            <w:pPr>
              <w:jc w:val="center"/>
              <w:rPr>
                <w:sz w:val="17"/>
                <w:szCs w:val="17"/>
              </w:rPr>
            </w:pPr>
            <w:r>
              <w:rPr>
                <w:sz w:val="17"/>
                <w:szCs w:val="17"/>
              </w:rPr>
              <w:t>2</w:t>
            </w:r>
          </w:p>
        </w:tc>
        <w:tc>
          <w:tcPr>
            <w:tcW w:w="1300" w:type="dxa"/>
            <w:vAlign w:val="center"/>
          </w:tcPr>
          <w:p w14:paraId="5AD86D45">
            <w:pPr>
              <w:jc w:val="center"/>
              <w:rPr>
                <w:sz w:val="17"/>
                <w:szCs w:val="17"/>
              </w:rPr>
            </w:pPr>
            <w:r>
              <w:rPr>
                <w:sz w:val="17"/>
                <w:szCs w:val="17"/>
              </w:rPr>
              <w:t>1</w:t>
            </w:r>
          </w:p>
        </w:tc>
        <w:tc>
          <w:tcPr>
            <w:tcW w:w="1900" w:type="dxa"/>
            <w:vAlign w:val="center"/>
          </w:tcPr>
          <w:p w14:paraId="1E52F592">
            <w:pPr>
              <w:jc w:val="center"/>
              <w:rPr>
                <w:sz w:val="17"/>
                <w:szCs w:val="17"/>
              </w:rPr>
            </w:pPr>
            <w:r>
              <w:rPr>
                <w:sz w:val="17"/>
                <w:szCs w:val="17"/>
              </w:rPr>
              <w:t>0</w:t>
            </w:r>
          </w:p>
        </w:tc>
      </w:tr>
      <w:tr w14:paraId="35572B3F">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500" w:type="dxa"/>
            <w:shd w:val="clear" w:color="auto" w:fill="D9E2F3"/>
            <w:vAlign w:val="center"/>
          </w:tcPr>
          <w:p w14:paraId="70BE2CD9">
            <w:pPr>
              <w:rPr>
                <w:b/>
                <w:sz w:val="17"/>
                <w:szCs w:val="17"/>
              </w:rPr>
            </w:pPr>
          </w:p>
        </w:tc>
        <w:tc>
          <w:tcPr>
            <w:tcW w:w="3060" w:type="dxa"/>
            <w:shd w:val="clear" w:color="auto" w:fill="D9E2F3"/>
            <w:vAlign w:val="center"/>
          </w:tcPr>
          <w:p w14:paraId="474B15BC">
            <w:pPr>
              <w:rPr>
                <w:b/>
                <w:sz w:val="17"/>
                <w:szCs w:val="17"/>
              </w:rPr>
            </w:pPr>
            <w:r>
              <w:rPr>
                <w:b/>
                <w:sz w:val="17"/>
                <w:szCs w:val="17"/>
              </w:rPr>
              <w:t>Total</w:t>
            </w:r>
          </w:p>
        </w:tc>
        <w:tc>
          <w:tcPr>
            <w:tcW w:w="1300" w:type="dxa"/>
            <w:shd w:val="clear" w:color="auto" w:fill="D9E2F3"/>
            <w:vAlign w:val="center"/>
          </w:tcPr>
          <w:p w14:paraId="22A6690C">
            <w:pPr>
              <w:jc w:val="center"/>
              <w:rPr>
                <w:b/>
                <w:sz w:val="17"/>
                <w:szCs w:val="17"/>
              </w:rPr>
            </w:pPr>
            <w:r>
              <w:rPr>
                <w:b/>
                <w:sz w:val="17"/>
                <w:szCs w:val="17"/>
              </w:rPr>
              <w:t>70</w:t>
            </w:r>
          </w:p>
        </w:tc>
        <w:tc>
          <w:tcPr>
            <w:tcW w:w="1300" w:type="dxa"/>
            <w:shd w:val="clear" w:color="auto" w:fill="D9E2F3"/>
            <w:vAlign w:val="center"/>
          </w:tcPr>
          <w:p w14:paraId="01CA00CC">
            <w:pPr>
              <w:jc w:val="center"/>
              <w:rPr>
                <w:b/>
                <w:sz w:val="17"/>
                <w:szCs w:val="17"/>
              </w:rPr>
            </w:pPr>
            <w:r>
              <w:rPr>
                <w:b/>
                <w:sz w:val="17"/>
                <w:szCs w:val="17"/>
              </w:rPr>
              <w:t>61</w:t>
            </w:r>
          </w:p>
        </w:tc>
        <w:tc>
          <w:tcPr>
            <w:tcW w:w="1300" w:type="dxa"/>
            <w:shd w:val="clear" w:color="auto" w:fill="D9E2F3"/>
            <w:vAlign w:val="center"/>
          </w:tcPr>
          <w:p w14:paraId="3E57E4D2">
            <w:pPr>
              <w:jc w:val="center"/>
              <w:rPr>
                <w:b/>
                <w:sz w:val="17"/>
                <w:szCs w:val="17"/>
              </w:rPr>
            </w:pPr>
            <w:r>
              <w:rPr>
                <w:b/>
                <w:sz w:val="17"/>
                <w:szCs w:val="17"/>
              </w:rPr>
              <w:t>8</w:t>
            </w:r>
          </w:p>
        </w:tc>
        <w:tc>
          <w:tcPr>
            <w:tcW w:w="1900" w:type="dxa"/>
            <w:shd w:val="clear" w:color="auto" w:fill="D9E2F3"/>
            <w:vAlign w:val="center"/>
          </w:tcPr>
          <w:p w14:paraId="289C5214">
            <w:pPr>
              <w:jc w:val="center"/>
              <w:rPr>
                <w:b/>
                <w:sz w:val="17"/>
                <w:szCs w:val="17"/>
              </w:rPr>
            </w:pPr>
            <w:r>
              <w:rPr>
                <w:b/>
                <w:sz w:val="17"/>
                <w:szCs w:val="17"/>
              </w:rPr>
              <w:t>1</w:t>
            </w:r>
          </w:p>
        </w:tc>
      </w:tr>
    </w:tbl>
    <w:p w14:paraId="76D0276B">
      <w:pPr>
        <w:spacing w:after="120"/>
      </w:pPr>
    </w:p>
    <w:p w14:paraId="0F1352D5">
      <w:pPr>
        <w:spacing w:after="120"/>
      </w:pPr>
    </w:p>
    <w:p w14:paraId="7BB5DB35">
      <w:pPr>
        <w:spacing w:after="120"/>
      </w:pPr>
    </w:p>
    <w:p w14:paraId="76F8DAD3"/>
    <w:p w14:paraId="19F6CE88">
      <w:pPr>
        <w:pStyle w:val="2"/>
        <w:spacing w:before="120"/>
        <w:rPr>
          <w:sz w:val="28"/>
        </w:rPr>
      </w:pPr>
      <w:bookmarkStart w:id="1" w:name="_Toc214615425"/>
      <w:r>
        <w:rPr>
          <w:sz w:val="28"/>
        </w:rPr>
        <w:t>2.</w:t>
      </w:r>
      <w:r>
        <w:rPr>
          <w:sz w:val="28"/>
        </w:rPr>
        <w:tab/>
      </w:r>
      <w:r>
        <w:rPr>
          <w:sz w:val="28"/>
        </w:rPr>
        <w:t>Test Environment</w:t>
      </w:r>
      <w:bookmarkEnd w:id="1"/>
      <w:r>
        <w:rPr>
          <w:sz w:val="28"/>
        </w:rPr>
        <w:t xml:space="preserve"> </w:t>
      </w:r>
    </w:p>
    <w:p w14:paraId="6AA0647B">
      <w:pPr>
        <w:pStyle w:val="24"/>
        <w:rPr>
          <w:rFonts w:cs="Arial"/>
        </w:rPr>
      </w:pPr>
      <w:r>
        <w:rPr>
          <w:rFonts w:cs="Arial"/>
          <w:i w:val="0"/>
          <w:color w:val="000000"/>
        </w:rPr>
        <w:t>The following environment was used to develop and test the system:</w:t>
      </w:r>
    </w:p>
    <w:p w14:paraId="3C00F497">
      <w:pPr>
        <w:pStyle w:val="24"/>
        <w:numPr>
          <w:ilvl w:val="0"/>
          <w:numId w:val="1"/>
        </w:numPr>
        <w:rPr>
          <w:rFonts w:cs="Arial"/>
        </w:rPr>
      </w:pPr>
      <w:r>
        <w:rPr>
          <w:rFonts w:cs="Arial"/>
          <w:i w:val="0"/>
          <w:color w:val="000000"/>
        </w:rPr>
        <w:t>Hardware and software used: Windows 10/11 PC; XAMPP 8.x stack (Apache 2.4, PHP 8.x, MySQL/MariaDB); Visual Studio Code</w:t>
      </w:r>
    </w:p>
    <w:p w14:paraId="0BB40A78">
      <w:pPr>
        <w:pStyle w:val="24"/>
        <w:numPr>
          <w:ilvl w:val="0"/>
          <w:numId w:val="1"/>
        </w:numPr>
        <w:rPr>
          <w:rFonts w:cs="Arial"/>
        </w:rPr>
      </w:pPr>
      <w:r>
        <w:rPr>
          <w:rFonts w:cs="Arial"/>
          <w:i w:val="0"/>
          <w:color w:val="000000"/>
        </w:rPr>
        <w:t>Operating system, browser, devices: Windows; Google Chrome (primary browser); responsive layout checked at desktop, tablet, and mobile widths</w:t>
      </w:r>
    </w:p>
    <w:p w14:paraId="15024742">
      <w:pPr>
        <w:pStyle w:val="24"/>
        <w:numPr>
          <w:ilvl w:val="0"/>
          <w:numId w:val="1"/>
        </w:numPr>
        <w:rPr>
          <w:rFonts w:cs="Arial"/>
        </w:rPr>
      </w:pPr>
      <w:r>
        <w:rPr>
          <w:rFonts w:cs="Arial"/>
          <w:i w:val="0"/>
          <w:color w:val="000000"/>
        </w:rPr>
        <w:t>Database and server information: MySQL database “7nvent_schema” served locally via XAMPP’s Apache/MySQL stack; schema and live records verified directly through phpMyAdmin</w:t>
      </w:r>
    </w:p>
    <w:p w14:paraId="13746228">
      <w:pPr>
        <w:pStyle w:val="24"/>
        <w:numPr>
          <w:ilvl w:val="0"/>
          <w:numId w:val="1"/>
        </w:numPr>
        <w:rPr>
          <w:rFonts w:cs="Arial"/>
        </w:rPr>
      </w:pPr>
      <w:r>
        <w:rPr>
          <w:rFonts w:cs="Arial"/>
          <w:i w:val="0"/>
          <w:color w:val="000000"/>
        </w:rPr>
        <w:t>Test data used: Live seeded application data — inventory items, purchase orders, supplier and location records, role-based user accounts, and system-generated alerts (via app/AlertSeeder.php)</w:t>
      </w:r>
    </w:p>
    <w:p w14:paraId="7CC6B03A">
      <w:pPr>
        <w:pStyle w:val="24"/>
        <w:rPr>
          <w:rFonts w:cs="Arial"/>
        </w:rPr>
      </w:pPr>
    </w:p>
    <w:p w14:paraId="2C7E3574">
      <w:pPr>
        <w:pStyle w:val="2"/>
        <w:rPr>
          <w:sz w:val="28"/>
        </w:rPr>
      </w:pPr>
      <w:bookmarkStart w:id="2" w:name="_Toc214615426"/>
      <w:r>
        <w:rPr>
          <w:sz w:val="28"/>
        </w:rPr>
        <w:t>3.</w:t>
      </w:r>
      <w:r>
        <w:rPr>
          <w:sz w:val="28"/>
        </w:rPr>
        <w:tab/>
      </w:r>
      <w:r>
        <w:rPr>
          <w:sz w:val="28"/>
        </w:rPr>
        <w:t>Defect Summary</w:t>
      </w:r>
      <w:bookmarkEnd w:id="2"/>
    </w:p>
    <w:p w14:paraId="71D33328">
      <w:pPr>
        <w:pStyle w:val="24"/>
        <w:rPr>
          <w:rFonts w:cs="Arial"/>
        </w:rPr>
      </w:pPr>
      <w:r>
        <w:rPr>
          <w:rFonts w:cs="Arial"/>
          <w:i w:val="0"/>
          <w:color w:val="000000"/>
        </w:rPr>
        <w:t>A total of 8 defects were identified across two testing rounds. All 8 have been fixed and re-verified — 6 against the source code and/or the live database, and 2 additionally confirmed with live automated browser checks (headless Chrome via Puppeteer); details are listed in Table 2 below. One of the original 6 (D5) recurred in the second round and was reopened, root-caused more precisely, and re-fixed.</w:t>
      </w:r>
    </w:p>
    <w:p w14:paraId="1F103448">
      <w:pPr>
        <w:pStyle w:val="24"/>
        <w:numPr>
          <w:ilvl w:val="0"/>
          <w:numId w:val="1"/>
        </w:numPr>
        <w:rPr>
          <w:rFonts w:cs="Arial"/>
        </w:rPr>
      </w:pPr>
      <w:r>
        <w:rPr>
          <w:rFonts w:cs="Arial"/>
          <w:i w:val="0"/>
          <w:color w:val="000000"/>
        </w:rPr>
        <w:t>Total defects found: 8</w:t>
      </w:r>
    </w:p>
    <w:p w14:paraId="4BB272DD">
      <w:pPr>
        <w:pStyle w:val="24"/>
        <w:numPr>
          <w:ilvl w:val="0"/>
          <w:numId w:val="1"/>
        </w:numPr>
        <w:rPr>
          <w:rFonts w:cs="Arial"/>
        </w:rPr>
      </w:pPr>
      <w:r>
        <w:rPr>
          <w:rFonts w:cs="Arial"/>
          <w:i w:val="0"/>
          <w:color w:val="000000"/>
        </w:rPr>
        <w:t>Severity levels: 1 Critical, 3 Major, 4 Minor (see Table 2)</w:t>
      </w:r>
    </w:p>
    <w:p w14:paraId="4324158C">
      <w:pPr>
        <w:spacing w:before="120" w:after="60"/>
        <w:rPr>
          <w:b/>
          <w:i/>
          <w:sz w:val="19"/>
        </w:rPr>
      </w:pPr>
      <w:r>
        <w:rPr>
          <w:b/>
          <w:i/>
          <w:sz w:val="19"/>
        </w:rPr>
        <w:t>Table 2: Defect Summary</w:t>
      </w:r>
    </w:p>
    <w:tbl>
      <w:tblPr>
        <w:tblStyle w:val="9"/>
        <w:tblW w:w="9360" w:type="dxa"/>
        <w:tblInd w:w="0" w:type="dxa"/>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Layout w:type="autofit"/>
        <w:tblCellMar>
          <w:top w:w="60" w:type="dxa"/>
          <w:left w:w="100" w:type="dxa"/>
          <w:bottom w:w="60" w:type="dxa"/>
          <w:right w:w="100" w:type="dxa"/>
        </w:tblCellMar>
      </w:tblPr>
      <w:tblGrid>
        <w:gridCol w:w="700"/>
        <w:gridCol w:w="4260"/>
        <w:gridCol w:w="1800"/>
        <w:gridCol w:w="1200"/>
        <w:gridCol w:w="1400"/>
      </w:tblGrid>
      <w:tr w14:paraId="291E0096">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shd w:val="clear" w:color="auto" w:fill="1F4E79"/>
            <w:vAlign w:val="center"/>
          </w:tcPr>
          <w:p w14:paraId="358116AE">
            <w:pPr>
              <w:jc w:val="center"/>
              <w:rPr>
                <w:b/>
                <w:color w:val="FFFFFF"/>
                <w:sz w:val="17"/>
                <w:szCs w:val="17"/>
              </w:rPr>
            </w:pPr>
            <w:r>
              <w:rPr>
                <w:b/>
                <w:color w:val="FFFFFF"/>
                <w:sz w:val="17"/>
                <w:szCs w:val="17"/>
              </w:rPr>
              <w:t>ID</w:t>
            </w:r>
          </w:p>
        </w:tc>
        <w:tc>
          <w:tcPr>
            <w:tcW w:w="4260" w:type="dxa"/>
            <w:shd w:val="clear" w:color="auto" w:fill="1F4E79"/>
            <w:vAlign w:val="center"/>
          </w:tcPr>
          <w:p w14:paraId="3CEC4472">
            <w:pPr>
              <w:rPr>
                <w:b/>
                <w:color w:val="FFFFFF"/>
                <w:sz w:val="17"/>
                <w:szCs w:val="17"/>
              </w:rPr>
            </w:pPr>
            <w:r>
              <w:rPr>
                <w:b/>
                <w:color w:val="FFFFFF"/>
                <w:sz w:val="17"/>
                <w:szCs w:val="17"/>
              </w:rPr>
              <w:t>Description</w:t>
            </w:r>
          </w:p>
        </w:tc>
        <w:tc>
          <w:tcPr>
            <w:tcW w:w="1800" w:type="dxa"/>
            <w:shd w:val="clear" w:color="auto" w:fill="1F4E79"/>
            <w:vAlign w:val="center"/>
          </w:tcPr>
          <w:p w14:paraId="52CC0044">
            <w:pPr>
              <w:rPr>
                <w:b/>
                <w:color w:val="FFFFFF"/>
                <w:sz w:val="17"/>
                <w:szCs w:val="17"/>
              </w:rPr>
            </w:pPr>
            <w:r>
              <w:rPr>
                <w:b/>
                <w:color w:val="FFFFFF"/>
                <w:sz w:val="17"/>
                <w:szCs w:val="17"/>
              </w:rPr>
              <w:t>Module</w:t>
            </w:r>
          </w:p>
        </w:tc>
        <w:tc>
          <w:tcPr>
            <w:tcW w:w="1200" w:type="dxa"/>
            <w:shd w:val="clear" w:color="auto" w:fill="1F4E79"/>
            <w:vAlign w:val="center"/>
          </w:tcPr>
          <w:p w14:paraId="65B91EC9">
            <w:pPr>
              <w:jc w:val="center"/>
              <w:rPr>
                <w:b/>
                <w:color w:val="FFFFFF"/>
                <w:sz w:val="17"/>
                <w:szCs w:val="17"/>
              </w:rPr>
            </w:pPr>
            <w:r>
              <w:rPr>
                <w:b/>
                <w:color w:val="FFFFFF"/>
                <w:sz w:val="17"/>
                <w:szCs w:val="17"/>
              </w:rPr>
              <w:t>Severity</w:t>
            </w:r>
          </w:p>
        </w:tc>
        <w:tc>
          <w:tcPr>
            <w:tcW w:w="1400" w:type="dxa"/>
            <w:shd w:val="clear" w:color="auto" w:fill="1F4E79"/>
            <w:vAlign w:val="center"/>
          </w:tcPr>
          <w:p w14:paraId="3017F691">
            <w:pPr>
              <w:jc w:val="center"/>
              <w:rPr>
                <w:b/>
                <w:color w:val="FFFFFF"/>
                <w:sz w:val="17"/>
                <w:szCs w:val="17"/>
              </w:rPr>
            </w:pPr>
            <w:r>
              <w:rPr>
                <w:b/>
                <w:color w:val="FFFFFF"/>
                <w:sz w:val="17"/>
                <w:szCs w:val="17"/>
              </w:rPr>
              <w:t>Status</w:t>
            </w:r>
          </w:p>
        </w:tc>
      </w:tr>
      <w:tr w14:paraId="261BE6B9">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vAlign w:val="center"/>
          </w:tcPr>
          <w:p w14:paraId="229C53B9">
            <w:pPr>
              <w:jc w:val="center"/>
              <w:rPr>
                <w:sz w:val="17"/>
                <w:szCs w:val="17"/>
              </w:rPr>
            </w:pPr>
            <w:r>
              <w:rPr>
                <w:sz w:val="17"/>
                <w:szCs w:val="17"/>
              </w:rPr>
              <w:t>D1</w:t>
            </w:r>
          </w:p>
        </w:tc>
        <w:tc>
          <w:tcPr>
            <w:tcW w:w="4260" w:type="dxa"/>
            <w:vAlign w:val="center"/>
          </w:tcPr>
          <w:p w14:paraId="17C60759">
            <w:pPr>
              <w:rPr>
                <w:sz w:val="17"/>
                <w:szCs w:val="17"/>
              </w:rPr>
            </w:pPr>
            <w:r>
              <w:rPr>
                <w:sz w:val="17"/>
                <w:szCs w:val="17"/>
              </w:rPr>
              <w:t>QR codes failed to render — the QR-generation library was loaded from a broken external CDN URL (404).</w:t>
            </w:r>
          </w:p>
        </w:tc>
        <w:tc>
          <w:tcPr>
            <w:tcW w:w="1800" w:type="dxa"/>
            <w:vAlign w:val="center"/>
          </w:tcPr>
          <w:p w14:paraId="41AC6B34">
            <w:pPr>
              <w:rPr>
                <w:sz w:val="17"/>
                <w:szCs w:val="17"/>
              </w:rPr>
            </w:pPr>
            <w:r>
              <w:rPr>
                <w:sz w:val="17"/>
                <w:szCs w:val="17"/>
              </w:rPr>
              <w:t>QR Code Scanner</w:t>
            </w:r>
          </w:p>
        </w:tc>
        <w:tc>
          <w:tcPr>
            <w:tcW w:w="1200" w:type="dxa"/>
            <w:vAlign w:val="center"/>
          </w:tcPr>
          <w:p w14:paraId="026803BF">
            <w:pPr>
              <w:jc w:val="center"/>
              <w:rPr>
                <w:sz w:val="17"/>
                <w:szCs w:val="17"/>
              </w:rPr>
            </w:pPr>
            <w:r>
              <w:rPr>
                <w:sz w:val="17"/>
                <w:szCs w:val="17"/>
              </w:rPr>
              <w:t>Major</w:t>
            </w:r>
          </w:p>
        </w:tc>
        <w:tc>
          <w:tcPr>
            <w:tcW w:w="1400" w:type="dxa"/>
            <w:vAlign w:val="center"/>
          </w:tcPr>
          <w:p w14:paraId="1DFE8222">
            <w:pPr>
              <w:jc w:val="center"/>
              <w:rPr>
                <w:sz w:val="17"/>
                <w:szCs w:val="17"/>
              </w:rPr>
            </w:pPr>
            <w:r>
              <w:rPr>
                <w:sz w:val="17"/>
                <w:szCs w:val="17"/>
              </w:rPr>
              <w:t>Fixed</w:t>
            </w:r>
          </w:p>
        </w:tc>
      </w:tr>
      <w:tr w14:paraId="116EDB34">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shd w:val="clear" w:color="auto" w:fill="EDF2F9"/>
            <w:vAlign w:val="center"/>
          </w:tcPr>
          <w:p w14:paraId="7D05CA7B">
            <w:pPr>
              <w:jc w:val="center"/>
              <w:rPr>
                <w:sz w:val="17"/>
                <w:szCs w:val="17"/>
              </w:rPr>
            </w:pPr>
            <w:r>
              <w:rPr>
                <w:sz w:val="17"/>
                <w:szCs w:val="17"/>
              </w:rPr>
              <w:t>D2</w:t>
            </w:r>
          </w:p>
        </w:tc>
        <w:tc>
          <w:tcPr>
            <w:tcW w:w="4260" w:type="dxa"/>
            <w:shd w:val="clear" w:color="auto" w:fill="EDF2F9"/>
            <w:vAlign w:val="center"/>
          </w:tcPr>
          <w:p w14:paraId="2DF95EFE">
            <w:pPr>
              <w:rPr>
                <w:sz w:val="17"/>
                <w:szCs w:val="17"/>
              </w:rPr>
            </w:pPr>
            <w:r>
              <w:rPr>
                <w:sz w:val="17"/>
                <w:szCs w:val="17"/>
              </w:rPr>
              <w:t>Stock-update actions called an incorrect AJAX endpoint path, causing the requests to fail silently.</w:t>
            </w:r>
          </w:p>
        </w:tc>
        <w:tc>
          <w:tcPr>
            <w:tcW w:w="1800" w:type="dxa"/>
            <w:shd w:val="clear" w:color="auto" w:fill="EDF2F9"/>
            <w:vAlign w:val="center"/>
          </w:tcPr>
          <w:p w14:paraId="64C48B69">
            <w:pPr>
              <w:rPr>
                <w:sz w:val="17"/>
                <w:szCs w:val="17"/>
              </w:rPr>
            </w:pPr>
            <w:r>
              <w:rPr>
                <w:sz w:val="17"/>
                <w:szCs w:val="17"/>
              </w:rPr>
              <w:t>Inventory Management</w:t>
            </w:r>
          </w:p>
        </w:tc>
        <w:tc>
          <w:tcPr>
            <w:tcW w:w="1200" w:type="dxa"/>
            <w:shd w:val="clear" w:color="auto" w:fill="EDF2F9"/>
            <w:vAlign w:val="center"/>
          </w:tcPr>
          <w:p w14:paraId="3D0890AD">
            <w:pPr>
              <w:jc w:val="center"/>
              <w:rPr>
                <w:sz w:val="17"/>
                <w:szCs w:val="17"/>
              </w:rPr>
            </w:pPr>
            <w:r>
              <w:rPr>
                <w:sz w:val="17"/>
                <w:szCs w:val="17"/>
              </w:rPr>
              <w:t>Major</w:t>
            </w:r>
          </w:p>
        </w:tc>
        <w:tc>
          <w:tcPr>
            <w:tcW w:w="1400" w:type="dxa"/>
            <w:shd w:val="clear" w:color="auto" w:fill="EDF2F9"/>
            <w:vAlign w:val="center"/>
          </w:tcPr>
          <w:p w14:paraId="4FE4F5C4">
            <w:pPr>
              <w:jc w:val="center"/>
              <w:rPr>
                <w:sz w:val="17"/>
                <w:szCs w:val="17"/>
              </w:rPr>
            </w:pPr>
            <w:r>
              <w:rPr>
                <w:sz w:val="17"/>
                <w:szCs w:val="17"/>
              </w:rPr>
              <w:t>Fixed</w:t>
            </w:r>
          </w:p>
        </w:tc>
      </w:tr>
      <w:tr w14:paraId="4E7C274A">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vAlign w:val="center"/>
          </w:tcPr>
          <w:p w14:paraId="6424BB01">
            <w:pPr>
              <w:jc w:val="center"/>
              <w:rPr>
                <w:sz w:val="17"/>
                <w:szCs w:val="17"/>
              </w:rPr>
            </w:pPr>
            <w:r>
              <w:rPr>
                <w:sz w:val="17"/>
                <w:szCs w:val="17"/>
              </w:rPr>
              <w:t>D3</w:t>
            </w:r>
          </w:p>
        </w:tc>
        <w:tc>
          <w:tcPr>
            <w:tcW w:w="4260" w:type="dxa"/>
            <w:vAlign w:val="center"/>
          </w:tcPr>
          <w:p w14:paraId="3774773C">
            <w:pPr>
              <w:rPr>
                <w:sz w:val="17"/>
                <w:szCs w:val="17"/>
              </w:rPr>
            </w:pPr>
            <w:r>
              <w:rPr>
                <w:sz w:val="17"/>
                <w:szCs w:val="17"/>
              </w:rPr>
              <w:t>The logout confirmation modal produced a stray diagonal light streak (a “silver wave”) rendering across the entire page, caused by an unbounded glass sheen effect.</w:t>
            </w:r>
          </w:p>
        </w:tc>
        <w:tc>
          <w:tcPr>
            <w:tcW w:w="1800" w:type="dxa"/>
            <w:vAlign w:val="center"/>
          </w:tcPr>
          <w:p w14:paraId="06B1B4B3">
            <w:pPr>
              <w:rPr>
                <w:sz w:val="17"/>
                <w:szCs w:val="17"/>
              </w:rPr>
            </w:pPr>
            <w:r>
              <w:rPr>
                <w:sz w:val="17"/>
                <w:szCs w:val="17"/>
              </w:rPr>
              <w:t>Theme / Global Layout</w:t>
            </w:r>
          </w:p>
        </w:tc>
        <w:tc>
          <w:tcPr>
            <w:tcW w:w="1200" w:type="dxa"/>
            <w:vAlign w:val="center"/>
          </w:tcPr>
          <w:p w14:paraId="3305EC2E">
            <w:pPr>
              <w:jc w:val="center"/>
              <w:rPr>
                <w:sz w:val="17"/>
                <w:szCs w:val="17"/>
              </w:rPr>
            </w:pPr>
            <w:r>
              <w:rPr>
                <w:sz w:val="17"/>
                <w:szCs w:val="17"/>
              </w:rPr>
              <w:t>Minor</w:t>
            </w:r>
          </w:p>
        </w:tc>
        <w:tc>
          <w:tcPr>
            <w:tcW w:w="1400" w:type="dxa"/>
            <w:vAlign w:val="center"/>
          </w:tcPr>
          <w:p w14:paraId="2764EA8D">
            <w:pPr>
              <w:jc w:val="center"/>
              <w:rPr>
                <w:sz w:val="17"/>
                <w:szCs w:val="17"/>
              </w:rPr>
            </w:pPr>
            <w:r>
              <w:rPr>
                <w:sz w:val="17"/>
                <w:szCs w:val="17"/>
              </w:rPr>
              <w:t>Fixed</w:t>
            </w:r>
          </w:p>
        </w:tc>
      </w:tr>
      <w:tr w14:paraId="6F8DDA97">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shd w:val="clear" w:color="auto" w:fill="EDF2F9"/>
            <w:vAlign w:val="center"/>
          </w:tcPr>
          <w:p w14:paraId="04EDCE6B">
            <w:pPr>
              <w:jc w:val="center"/>
              <w:rPr>
                <w:sz w:val="17"/>
                <w:szCs w:val="17"/>
              </w:rPr>
            </w:pPr>
            <w:r>
              <w:rPr>
                <w:sz w:val="17"/>
                <w:szCs w:val="17"/>
              </w:rPr>
              <w:t>D4</w:t>
            </w:r>
          </w:p>
        </w:tc>
        <w:tc>
          <w:tcPr>
            <w:tcW w:w="4260" w:type="dxa"/>
            <w:shd w:val="clear" w:color="auto" w:fill="EDF2F9"/>
            <w:vAlign w:val="center"/>
          </w:tcPr>
          <w:p w14:paraId="17535A1F">
            <w:pPr>
              <w:rPr>
                <w:sz w:val="17"/>
                <w:szCs w:val="17"/>
              </w:rPr>
            </w:pPr>
            <w:r>
              <w:rPr>
                <w:sz w:val="17"/>
                <w:szCs w:val="17"/>
              </w:rPr>
              <w:t>Opening the AI chat widget caused a horizontal page scroll that shifted content, hiding left-aligned table columns (observed on the Purchase Orders page).</w:t>
            </w:r>
          </w:p>
        </w:tc>
        <w:tc>
          <w:tcPr>
            <w:tcW w:w="1800" w:type="dxa"/>
            <w:shd w:val="clear" w:color="auto" w:fill="EDF2F9"/>
            <w:vAlign w:val="center"/>
          </w:tcPr>
          <w:p w14:paraId="2EEF0AB8">
            <w:pPr>
              <w:rPr>
                <w:sz w:val="17"/>
                <w:szCs w:val="17"/>
              </w:rPr>
            </w:pPr>
            <w:r>
              <w:rPr>
                <w:sz w:val="17"/>
                <w:szCs w:val="17"/>
              </w:rPr>
              <w:t>AI Chat Widget</w:t>
            </w:r>
          </w:p>
        </w:tc>
        <w:tc>
          <w:tcPr>
            <w:tcW w:w="1200" w:type="dxa"/>
            <w:shd w:val="clear" w:color="auto" w:fill="EDF2F9"/>
            <w:vAlign w:val="center"/>
          </w:tcPr>
          <w:p w14:paraId="22756D98">
            <w:pPr>
              <w:jc w:val="center"/>
              <w:rPr>
                <w:sz w:val="17"/>
                <w:szCs w:val="17"/>
              </w:rPr>
            </w:pPr>
            <w:r>
              <w:rPr>
                <w:sz w:val="17"/>
                <w:szCs w:val="17"/>
              </w:rPr>
              <w:t>Major</w:t>
            </w:r>
          </w:p>
        </w:tc>
        <w:tc>
          <w:tcPr>
            <w:tcW w:w="1400" w:type="dxa"/>
            <w:shd w:val="clear" w:color="auto" w:fill="EDF2F9"/>
            <w:vAlign w:val="center"/>
          </w:tcPr>
          <w:p w14:paraId="0BB45715">
            <w:pPr>
              <w:jc w:val="center"/>
              <w:rPr>
                <w:sz w:val="17"/>
                <w:szCs w:val="17"/>
              </w:rPr>
            </w:pPr>
            <w:r>
              <w:rPr>
                <w:sz w:val="17"/>
                <w:szCs w:val="17"/>
              </w:rPr>
              <w:t>Fixed</w:t>
            </w:r>
          </w:p>
        </w:tc>
      </w:tr>
      <w:tr w14:paraId="5C78CE4F">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vAlign w:val="center"/>
          </w:tcPr>
          <w:p w14:paraId="584C6302">
            <w:pPr>
              <w:jc w:val="center"/>
              <w:rPr>
                <w:sz w:val="17"/>
                <w:szCs w:val="17"/>
              </w:rPr>
            </w:pPr>
            <w:r>
              <w:rPr>
                <w:sz w:val="17"/>
                <w:szCs w:val="17"/>
              </w:rPr>
              <w:t>D5</w:t>
            </w:r>
          </w:p>
        </w:tc>
        <w:tc>
          <w:tcPr>
            <w:tcW w:w="4260" w:type="dxa"/>
            <w:vAlign w:val="center"/>
          </w:tcPr>
          <w:p w14:paraId="71EE0FD2">
            <w:pPr>
              <w:rPr>
                <w:sz w:val="17"/>
                <w:szCs w:val="17"/>
              </w:rPr>
            </w:pPr>
            <w:r>
              <w:rPr>
                <w:sz w:val="17"/>
                <w:szCs w:val="17"/>
              </w:rPr>
              <w:t>The Text Size selector panel used hardcoded light-mode colors, producing low-contrast, hard-to-read text in dark mode. Reopened in a later testing round after the same symptom was observed again; root-caused to the applyFontSize() JavaScript function re-applying literal light-mode hex values on every page load instead of the theme-aware CSS variables. Re-fixed and verified via computed-style checks in both dark and light mode.</w:t>
            </w:r>
          </w:p>
        </w:tc>
        <w:tc>
          <w:tcPr>
            <w:tcW w:w="1800" w:type="dxa"/>
            <w:vAlign w:val="center"/>
          </w:tcPr>
          <w:p w14:paraId="4651EFD0">
            <w:pPr>
              <w:rPr>
                <w:sz w:val="17"/>
                <w:szCs w:val="17"/>
              </w:rPr>
            </w:pPr>
            <w:r>
              <w:rPr>
                <w:sz w:val="17"/>
                <w:szCs w:val="17"/>
              </w:rPr>
              <w:t>Theme / Global Layout</w:t>
            </w:r>
          </w:p>
        </w:tc>
        <w:tc>
          <w:tcPr>
            <w:tcW w:w="1200" w:type="dxa"/>
            <w:vAlign w:val="center"/>
          </w:tcPr>
          <w:p w14:paraId="0E9AC040">
            <w:pPr>
              <w:jc w:val="center"/>
              <w:rPr>
                <w:sz w:val="17"/>
                <w:szCs w:val="17"/>
              </w:rPr>
            </w:pPr>
            <w:r>
              <w:rPr>
                <w:sz w:val="17"/>
                <w:szCs w:val="17"/>
              </w:rPr>
              <w:t>Minor</w:t>
            </w:r>
          </w:p>
        </w:tc>
        <w:tc>
          <w:tcPr>
            <w:tcW w:w="1400" w:type="dxa"/>
            <w:vAlign w:val="center"/>
          </w:tcPr>
          <w:p w14:paraId="6A18E423">
            <w:pPr>
              <w:jc w:val="center"/>
              <w:rPr>
                <w:sz w:val="17"/>
                <w:szCs w:val="17"/>
              </w:rPr>
            </w:pPr>
            <w:r>
              <w:rPr>
                <w:sz w:val="17"/>
                <w:szCs w:val="17"/>
              </w:rPr>
              <w:t>Fixed</w:t>
            </w:r>
          </w:p>
        </w:tc>
      </w:tr>
      <w:tr w14:paraId="3DD944CF">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shd w:val="clear" w:color="auto" w:fill="EDF2F9"/>
            <w:vAlign w:val="center"/>
          </w:tcPr>
          <w:p w14:paraId="1D5D6074">
            <w:pPr>
              <w:jc w:val="center"/>
              <w:rPr>
                <w:sz w:val="17"/>
                <w:szCs w:val="17"/>
              </w:rPr>
            </w:pPr>
            <w:r>
              <w:rPr>
                <w:sz w:val="17"/>
                <w:szCs w:val="17"/>
              </w:rPr>
              <w:t>D6</w:t>
            </w:r>
          </w:p>
        </w:tc>
        <w:tc>
          <w:tcPr>
            <w:tcW w:w="4260" w:type="dxa"/>
            <w:shd w:val="clear" w:color="auto" w:fill="EDF2F9"/>
            <w:vAlign w:val="center"/>
          </w:tcPr>
          <w:p w14:paraId="4F399C0C">
            <w:pPr>
              <w:rPr>
                <w:sz w:val="17"/>
                <w:szCs w:val="17"/>
              </w:rPr>
            </w:pPr>
            <w:r>
              <w:rPr>
                <w:sz w:val="17"/>
                <w:szCs w:val="17"/>
              </w:rPr>
              <w:t>The alerts.status database ENUM was missing the ‘Resolved’ value, causing alert status-update actions to fail silently.</w:t>
            </w:r>
          </w:p>
        </w:tc>
        <w:tc>
          <w:tcPr>
            <w:tcW w:w="1800" w:type="dxa"/>
            <w:shd w:val="clear" w:color="auto" w:fill="EDF2F9"/>
            <w:vAlign w:val="center"/>
          </w:tcPr>
          <w:p w14:paraId="12ADC82F">
            <w:pPr>
              <w:rPr>
                <w:sz w:val="17"/>
                <w:szCs w:val="17"/>
              </w:rPr>
            </w:pPr>
            <w:r>
              <w:rPr>
                <w:sz w:val="17"/>
                <w:szCs w:val="17"/>
              </w:rPr>
              <w:t>Alerts &amp; Notifications</w:t>
            </w:r>
          </w:p>
        </w:tc>
        <w:tc>
          <w:tcPr>
            <w:tcW w:w="1200" w:type="dxa"/>
            <w:shd w:val="clear" w:color="auto" w:fill="EDF2F9"/>
            <w:vAlign w:val="center"/>
          </w:tcPr>
          <w:p w14:paraId="28A689D9">
            <w:pPr>
              <w:jc w:val="center"/>
              <w:rPr>
                <w:sz w:val="17"/>
                <w:szCs w:val="17"/>
              </w:rPr>
            </w:pPr>
            <w:r>
              <w:rPr>
                <w:sz w:val="17"/>
                <w:szCs w:val="17"/>
              </w:rPr>
              <w:t>Critical</w:t>
            </w:r>
          </w:p>
        </w:tc>
        <w:tc>
          <w:tcPr>
            <w:tcW w:w="1400" w:type="dxa"/>
            <w:shd w:val="clear" w:color="auto" w:fill="EDF2F9"/>
            <w:vAlign w:val="center"/>
          </w:tcPr>
          <w:p w14:paraId="1A2D3CC1">
            <w:pPr>
              <w:jc w:val="center"/>
              <w:rPr>
                <w:sz w:val="17"/>
                <w:szCs w:val="17"/>
              </w:rPr>
            </w:pPr>
            <w:r>
              <w:rPr>
                <w:sz w:val="17"/>
                <w:szCs w:val="17"/>
              </w:rPr>
              <w:t>Fixed</w:t>
            </w:r>
          </w:p>
        </w:tc>
      </w:tr>
      <w:tr w14:paraId="0895E265">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vAlign w:val="center"/>
          </w:tcPr>
          <w:p w14:paraId="3FE23158">
            <w:pPr>
              <w:jc w:val="center"/>
              <w:rPr>
                <w:sz w:val="17"/>
                <w:szCs w:val="17"/>
              </w:rPr>
            </w:pPr>
            <w:r>
              <w:rPr>
                <w:sz w:val="17"/>
                <w:szCs w:val="17"/>
              </w:rPr>
              <w:t>D7</w:t>
            </w:r>
          </w:p>
        </w:tc>
        <w:tc>
          <w:tcPr>
            <w:tcW w:w="4260" w:type="dxa"/>
            <w:vAlign w:val="center"/>
          </w:tcPr>
          <w:p w14:paraId="30D18D53">
            <w:pPr>
              <w:rPr>
                <w:sz w:val="17"/>
                <w:szCs w:val="17"/>
              </w:rPr>
            </w:pPr>
            <w:r>
              <w:rPr>
                <w:sz w:val="17"/>
                <w:szCs w:val="17"/>
              </w:rPr>
              <w:t>The “Code not recognised” error toast fired even when an uploaded QR image decoded successfully but simply did not match any inventory item, needlessly alarming the user right as the Quick-Add form opened underneath it.</w:t>
            </w:r>
          </w:p>
        </w:tc>
        <w:tc>
          <w:tcPr>
            <w:tcW w:w="1800" w:type="dxa"/>
            <w:vAlign w:val="center"/>
          </w:tcPr>
          <w:p w14:paraId="0EF722EE">
            <w:pPr>
              <w:rPr>
                <w:sz w:val="17"/>
                <w:szCs w:val="17"/>
              </w:rPr>
            </w:pPr>
            <w:r>
              <w:rPr>
                <w:sz w:val="17"/>
                <w:szCs w:val="17"/>
              </w:rPr>
              <w:t>QR Code Scanner</w:t>
            </w:r>
          </w:p>
        </w:tc>
        <w:tc>
          <w:tcPr>
            <w:tcW w:w="1200" w:type="dxa"/>
            <w:vAlign w:val="center"/>
          </w:tcPr>
          <w:p w14:paraId="5CFFF4F9">
            <w:pPr>
              <w:jc w:val="center"/>
              <w:rPr>
                <w:sz w:val="17"/>
                <w:szCs w:val="17"/>
              </w:rPr>
            </w:pPr>
            <w:r>
              <w:rPr>
                <w:sz w:val="17"/>
                <w:szCs w:val="17"/>
              </w:rPr>
              <w:t>Minor</w:t>
            </w:r>
          </w:p>
        </w:tc>
        <w:tc>
          <w:tcPr>
            <w:tcW w:w="1400" w:type="dxa"/>
            <w:vAlign w:val="center"/>
          </w:tcPr>
          <w:p w14:paraId="24F5B592">
            <w:pPr>
              <w:jc w:val="center"/>
              <w:rPr>
                <w:sz w:val="17"/>
                <w:szCs w:val="17"/>
              </w:rPr>
            </w:pPr>
            <w:r>
              <w:rPr>
                <w:sz w:val="17"/>
                <w:szCs w:val="17"/>
              </w:rPr>
              <w:t>Fixed</w:t>
            </w:r>
          </w:p>
        </w:tc>
      </w:tr>
      <w:tr w14:paraId="1E798103">
        <w:tblPrEx>
          <w:tblBorders>
            <w:top w:val="single" w:color="8EA9C1" w:sz="4" w:space="0"/>
            <w:left w:val="single" w:color="8EA9C1" w:sz="4" w:space="0"/>
            <w:bottom w:val="single" w:color="8EA9C1" w:sz="4" w:space="0"/>
            <w:right w:val="single" w:color="8EA9C1" w:sz="4" w:space="0"/>
            <w:insideH w:val="single" w:color="8EA9C1" w:sz="4" w:space="0"/>
            <w:insideV w:val="single" w:color="8EA9C1" w:sz="4" w:space="0"/>
          </w:tblBorders>
          <w:tblCellMar>
            <w:top w:w="60" w:type="dxa"/>
            <w:left w:w="100" w:type="dxa"/>
            <w:bottom w:w="60" w:type="dxa"/>
            <w:right w:w="100" w:type="dxa"/>
          </w:tblCellMar>
        </w:tblPrEx>
        <w:tc>
          <w:tcPr>
            <w:tcW w:w="700" w:type="dxa"/>
            <w:shd w:val="clear" w:color="auto" w:fill="EDF2F9"/>
            <w:vAlign w:val="center"/>
          </w:tcPr>
          <w:p w14:paraId="17BE32DB">
            <w:pPr>
              <w:jc w:val="center"/>
              <w:rPr>
                <w:sz w:val="17"/>
                <w:szCs w:val="17"/>
              </w:rPr>
            </w:pPr>
            <w:r>
              <w:rPr>
                <w:sz w:val="17"/>
                <w:szCs w:val="17"/>
              </w:rPr>
              <w:t>D8</w:t>
            </w:r>
          </w:p>
        </w:tc>
        <w:tc>
          <w:tcPr>
            <w:tcW w:w="4260" w:type="dxa"/>
            <w:shd w:val="clear" w:color="auto" w:fill="EDF2F9"/>
            <w:vAlign w:val="center"/>
          </w:tcPr>
          <w:p w14:paraId="0D793A58">
            <w:pPr>
              <w:rPr>
                <w:sz w:val="17"/>
                <w:szCs w:val="17"/>
              </w:rPr>
            </w:pPr>
            <w:r>
              <w:rPr>
                <w:sz w:val="17"/>
                <w:szCs w:val="17"/>
              </w:rPr>
              <w:t>The “Generate QR Codes” subtitle on the QR Scanner page was hardcoded as a permanent English/Malay hybrid string that never actually switched with the language toggle.</w:t>
            </w:r>
          </w:p>
        </w:tc>
        <w:tc>
          <w:tcPr>
            <w:tcW w:w="1800" w:type="dxa"/>
            <w:shd w:val="clear" w:color="auto" w:fill="EDF2F9"/>
            <w:vAlign w:val="center"/>
          </w:tcPr>
          <w:p w14:paraId="2D859A8C">
            <w:pPr>
              <w:rPr>
                <w:sz w:val="17"/>
                <w:szCs w:val="17"/>
              </w:rPr>
            </w:pPr>
            <w:r>
              <w:rPr>
                <w:sz w:val="17"/>
                <w:szCs w:val="17"/>
              </w:rPr>
              <w:t>Multi-language (Bahasa Melayu) Translation</w:t>
            </w:r>
          </w:p>
        </w:tc>
        <w:tc>
          <w:tcPr>
            <w:tcW w:w="1200" w:type="dxa"/>
            <w:shd w:val="clear" w:color="auto" w:fill="EDF2F9"/>
            <w:vAlign w:val="center"/>
          </w:tcPr>
          <w:p w14:paraId="61E57DE2">
            <w:pPr>
              <w:jc w:val="center"/>
              <w:rPr>
                <w:sz w:val="17"/>
                <w:szCs w:val="17"/>
              </w:rPr>
            </w:pPr>
            <w:r>
              <w:rPr>
                <w:sz w:val="17"/>
                <w:szCs w:val="17"/>
              </w:rPr>
              <w:t>Minor</w:t>
            </w:r>
          </w:p>
        </w:tc>
        <w:tc>
          <w:tcPr>
            <w:tcW w:w="1400" w:type="dxa"/>
            <w:shd w:val="clear" w:color="auto" w:fill="EDF2F9"/>
            <w:vAlign w:val="center"/>
          </w:tcPr>
          <w:p w14:paraId="220C5A7B">
            <w:pPr>
              <w:jc w:val="center"/>
              <w:rPr>
                <w:sz w:val="17"/>
                <w:szCs w:val="17"/>
              </w:rPr>
            </w:pPr>
            <w:r>
              <w:rPr>
                <w:sz w:val="17"/>
                <w:szCs w:val="17"/>
              </w:rPr>
              <w:t>Fixed</w:t>
            </w:r>
          </w:p>
        </w:tc>
      </w:tr>
    </w:tbl>
    <w:p w14:paraId="18C601A6">
      <w:pPr>
        <w:spacing w:after="120"/>
      </w:pPr>
    </w:p>
    <w:p w14:paraId="5F2D6D40"/>
    <w:p w14:paraId="6625A2AF">
      <w:pPr>
        <w:pStyle w:val="2"/>
        <w:rPr>
          <w:sz w:val="28"/>
        </w:rPr>
      </w:pPr>
      <w:bookmarkStart w:id="3" w:name="_Toc214615427"/>
      <w:r>
        <w:rPr>
          <w:sz w:val="28"/>
        </w:rPr>
        <w:t>4.</w:t>
      </w:r>
      <w:r>
        <w:rPr>
          <w:sz w:val="28"/>
        </w:rPr>
        <w:tab/>
      </w:r>
      <w:r>
        <w:rPr>
          <w:sz w:val="28"/>
        </w:rPr>
        <w:t>Conclusion</w:t>
      </w:r>
      <w:bookmarkEnd w:id="3"/>
    </w:p>
    <w:p w14:paraId="00D89110">
      <w:pPr>
        <w:pStyle w:val="24"/>
        <w:rPr>
          <w:rFonts w:cs="Arial"/>
        </w:rPr>
      </w:pPr>
      <w:r>
        <w:rPr>
          <w:rFonts w:cs="Arial"/>
          <w:i w:val="0"/>
          <w:color w:val="000000"/>
        </w:rPr>
        <w:t>Testing of the 7NVENT Hotel Inventory Management System during this cycle can be summarized as follows:</w:t>
      </w:r>
    </w:p>
    <w:p w14:paraId="0F41C6BE">
      <w:pPr>
        <w:pStyle w:val="24"/>
        <w:numPr>
          <w:ilvl w:val="0"/>
          <w:numId w:val="2"/>
        </w:numPr>
        <w:rPr>
          <w:rFonts w:cs="Arial"/>
        </w:rPr>
      </w:pPr>
      <w:r>
        <w:rPr>
          <w:rFonts w:cs="Arial"/>
          <w:i w:val="0"/>
          <w:color w:val="000000"/>
        </w:rPr>
        <w:t>Testing objectives were substantially met: all 8 defects found across the Inventory, Alerts, QR Scanner, AI Chat Widget, Theme/Global Layout, and Multi-language modules were diagnosed and fixed. The first 6 were re-verified through code review and live database checks in phpMyAdmin. A second testing round additionally performed live automated browser verification (headless Chrome via Puppeteer, driving the real application against a seeded test account) for the QR upload/decode fix and the dark-mode contrast fix, confirming both by inspecting live DOM state and computed CSS values rather than static code review alone. A full manual regression click-through across every page was not performed in either round — this is disclosed here rather than claimed as completed.</w:t>
      </w:r>
    </w:p>
    <w:p w14:paraId="697215C7">
      <w:pPr>
        <w:pStyle w:val="24"/>
        <w:numPr>
          <w:ilvl w:val="0"/>
          <w:numId w:val="2"/>
        </w:numPr>
        <w:rPr>
          <w:rFonts w:cs="Arial"/>
        </w:rPr>
      </w:pPr>
      <w:r>
        <w:rPr>
          <w:rFonts w:cs="Arial"/>
          <w:i w:val="0"/>
          <w:color w:val="000000"/>
        </w:rPr>
        <w:t>System readiness: Partially Ready. The system is functionally complete and demo-ready for the modules covered in this report, with two rounds of defect-fixing evidence behind it. A full manual regression click-through, a complete Bahasa Melayu translation audit across every page, and a broader automated test suite are still recommended before production deployment.</w:t>
      </w:r>
    </w:p>
    <w:p w14:paraId="425B286D">
      <w:pPr>
        <w:spacing w:before="240" w:after="60"/>
      </w:pPr>
      <w:r>
        <w:rPr>
          <w:b/>
          <w:color w:val="000000"/>
        </w:rPr>
        <w:t xml:space="preserve">Project Source Code Repository: </w:t>
      </w:r>
      <w:r>
        <w:rPr>
          <w:b/>
          <w:color w:val="FF0000"/>
        </w:rPr>
        <w:t>[INSERT GITHUB REPOSITORY LINK HERE]</w:t>
      </w:r>
    </w:p>
    <w:p w14:paraId="1C0F9918">
      <w:pPr>
        <w:spacing w:after="120"/>
        <w:rPr>
          <w:i/>
          <w:color w:val="595959"/>
          <w:sz w:val="18"/>
        </w:rPr>
      </w:pPr>
      <w:r>
        <w:rPr>
          <w:i/>
          <w:color w:val="595959"/>
          <w:sz w:val="18"/>
        </w:rPr>
        <w:t>(Upload all project resources to a GitHub repository and paste the link above before submission. The same link, plus a video of error/debugging, is also required for the separate Microsoft Teams submission.)</w:t>
      </w:r>
    </w:p>
    <w:p w14:paraId="18F91A41"/>
    <w:bookmarkEnd w:id="4"/>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565EAF"/>
    <w:multiLevelType w:val="multilevel"/>
    <w:tmpl w:val="4F565E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A874297"/>
    <w:multiLevelType w:val="multilevel"/>
    <w:tmpl w:val="5A8742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06C"/>
    <w:rsid w:val="0002436D"/>
    <w:rsid w:val="00025D03"/>
    <w:rsid w:val="00067592"/>
    <w:rsid w:val="000940AE"/>
    <w:rsid w:val="001C5C81"/>
    <w:rsid w:val="0021232D"/>
    <w:rsid w:val="00227FD9"/>
    <w:rsid w:val="002E1F9A"/>
    <w:rsid w:val="002E35B0"/>
    <w:rsid w:val="003342D4"/>
    <w:rsid w:val="00344F0F"/>
    <w:rsid w:val="00347213"/>
    <w:rsid w:val="00360EF2"/>
    <w:rsid w:val="00362FDD"/>
    <w:rsid w:val="003D5BAC"/>
    <w:rsid w:val="0040706C"/>
    <w:rsid w:val="004C0D7B"/>
    <w:rsid w:val="00557D74"/>
    <w:rsid w:val="0064049F"/>
    <w:rsid w:val="0068433E"/>
    <w:rsid w:val="006D6D9A"/>
    <w:rsid w:val="00700E42"/>
    <w:rsid w:val="00706F8F"/>
    <w:rsid w:val="007E630B"/>
    <w:rsid w:val="008222D9"/>
    <w:rsid w:val="008B7D9E"/>
    <w:rsid w:val="008E7BFC"/>
    <w:rsid w:val="008F2486"/>
    <w:rsid w:val="00926443"/>
    <w:rsid w:val="00940A2F"/>
    <w:rsid w:val="0094307C"/>
    <w:rsid w:val="009D3C68"/>
    <w:rsid w:val="00A36186"/>
    <w:rsid w:val="00AA1D2E"/>
    <w:rsid w:val="00AE1796"/>
    <w:rsid w:val="00B41C0F"/>
    <w:rsid w:val="00BA0C91"/>
    <w:rsid w:val="00BE2631"/>
    <w:rsid w:val="00BE29A0"/>
    <w:rsid w:val="00BF742A"/>
    <w:rsid w:val="00C113E4"/>
    <w:rsid w:val="00C87240"/>
    <w:rsid w:val="00CB6700"/>
    <w:rsid w:val="00D12DDA"/>
    <w:rsid w:val="00D271A9"/>
    <w:rsid w:val="00D44CAA"/>
    <w:rsid w:val="00D87655"/>
    <w:rsid w:val="00DF66BB"/>
    <w:rsid w:val="00E01933"/>
    <w:rsid w:val="00E2287C"/>
    <w:rsid w:val="4AB53CF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MY"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link w:val="23"/>
    <w:qFormat/>
    <w:uiPriority w:val="0"/>
    <w:pPr>
      <w:keepLines/>
      <w:tabs>
        <w:tab w:val="left" w:pos="1247"/>
        <w:tab w:val="left" w:pos="2552"/>
        <w:tab w:val="left" w:pos="3856"/>
        <w:tab w:val="left" w:pos="5216"/>
        <w:tab w:val="left" w:pos="6464"/>
        <w:tab w:val="left" w:pos="7768"/>
        <w:tab w:val="left" w:pos="9072"/>
        <w:tab w:val="left" w:pos="10206"/>
      </w:tabs>
      <w:spacing w:before="240" w:line="240" w:lineRule="auto"/>
      <w:ind w:left="2552"/>
    </w:pPr>
    <w:rPr>
      <w:rFonts w:ascii="Arial" w:hAnsi="Arial" w:eastAsia="Times New Roman" w:cs="Times New Roman"/>
      <w:sz w:val="22"/>
      <w:szCs w:val="20"/>
      <w:lang w:val="en-GB" w:eastAsia="en-US" w:bidi="ar-SA"/>
    </w:rPr>
  </w:style>
  <w:style w:type="character" w:styleId="11">
    <w:name w:val="Hyperlink"/>
    <w:basedOn w:val="8"/>
    <w:unhideWhenUsed/>
    <w:uiPriority w:val="99"/>
    <w:rPr>
      <w:color w:val="0000FF" w:themeColor="hyperlink"/>
      <w:u w:val="single"/>
      <w14:textFill>
        <w14:solidFill>
          <w14:schemeClr w14:val="hlink"/>
        </w14:solidFill>
      </w14:textFill>
    </w:r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uiPriority w:val="39"/>
    <w:pPr>
      <w:spacing w:after="100"/>
      <w:ind w:left="220"/>
    </w:pPr>
  </w:style>
  <w:style w:type="table" w:customStyle="1" w:styleId="16">
    <w:name w:val="_Style 11"/>
    <w:basedOn w:val="9"/>
    <w:uiPriority w:val="0"/>
    <w:tblPr>
      <w:tblCellMar>
        <w:left w:w="115" w:type="dxa"/>
        <w:right w:w="115" w:type="dxa"/>
      </w:tblCellMar>
    </w:tblPr>
  </w:style>
  <w:style w:type="table" w:customStyle="1" w:styleId="17">
    <w:name w:val="_Style 12"/>
    <w:basedOn w:val="9"/>
    <w:qFormat/>
    <w:uiPriority w:val="0"/>
    <w:tblPr>
      <w:tblCellMar>
        <w:left w:w="115" w:type="dxa"/>
        <w:right w:w="115" w:type="dxa"/>
      </w:tblCellMar>
    </w:tblPr>
  </w:style>
  <w:style w:type="table" w:customStyle="1" w:styleId="18">
    <w:name w:val="_Style 13"/>
    <w:basedOn w:val="9"/>
    <w:qFormat/>
    <w:uiPriority w:val="0"/>
    <w:tblPr>
      <w:tblCellMar>
        <w:left w:w="115" w:type="dxa"/>
        <w:right w:w="115" w:type="dxa"/>
      </w:tblCellMar>
    </w:tblPr>
  </w:style>
  <w:style w:type="table" w:customStyle="1" w:styleId="19">
    <w:name w:val="_Style 14"/>
    <w:basedOn w:val="9"/>
    <w:qFormat/>
    <w:uiPriority w:val="0"/>
    <w:tblPr>
      <w:tblCellMar>
        <w:left w:w="115" w:type="dxa"/>
        <w:right w:w="115" w:type="dxa"/>
      </w:tblCellMar>
    </w:tblPr>
  </w:style>
  <w:style w:type="table" w:customStyle="1" w:styleId="20">
    <w:name w:val="_Style 15"/>
    <w:basedOn w:val="9"/>
    <w:qFormat/>
    <w:uiPriority w:val="0"/>
    <w:pPr>
      <w:spacing w:line="240" w:lineRule="auto"/>
    </w:pPr>
    <w:rPr>
      <w:rFonts w:ascii="Times New Roman" w:hAnsi="Times New Roman" w:eastAsia="Times New Roman" w:cs="Times New Roman"/>
      <w:sz w:val="20"/>
      <w:szCs w:val="20"/>
    </w:rPr>
  </w:style>
  <w:style w:type="table" w:customStyle="1" w:styleId="21">
    <w:name w:val="_Style 16"/>
    <w:basedOn w:val="9"/>
    <w:uiPriority w:val="0"/>
    <w:pPr>
      <w:spacing w:line="240" w:lineRule="auto"/>
    </w:pPr>
    <w:rPr>
      <w:rFonts w:ascii="Times New Roman" w:hAnsi="Times New Roman" w:eastAsia="Times New Roman" w:cs="Times New Roman"/>
      <w:sz w:val="20"/>
      <w:szCs w:val="20"/>
    </w:rPr>
  </w:style>
  <w:style w:type="paragraph" w:customStyle="1" w:styleId="22">
    <w:name w:val="Document Title"/>
    <w:basedOn w:val="1"/>
    <w:qFormat/>
    <w:uiPriority w:val="0"/>
    <w:pPr>
      <w:spacing w:before="120" w:after="120" w:line="240" w:lineRule="auto"/>
      <w:ind w:right="57"/>
      <w:jc w:val="center"/>
    </w:pPr>
    <w:rPr>
      <w:rFonts w:eastAsia="Times New Roman" w:cs="Times New Roman"/>
      <w:sz w:val="56"/>
      <w:szCs w:val="20"/>
      <w:lang w:val="de-DE" w:eastAsia="de-DE"/>
    </w:rPr>
  </w:style>
  <w:style w:type="character" w:customStyle="1" w:styleId="23">
    <w:name w:val="Body Text Char"/>
    <w:basedOn w:val="8"/>
    <w:link w:val="10"/>
    <w:qFormat/>
    <w:uiPriority w:val="0"/>
    <w:rPr>
      <w:rFonts w:eastAsia="Times New Roman" w:cs="Times New Roman"/>
      <w:szCs w:val="20"/>
      <w:lang w:val="en-GB" w:eastAsia="en-US"/>
    </w:rPr>
  </w:style>
  <w:style w:type="paragraph" w:customStyle="1" w:styleId="24">
    <w:name w:val="Help Text"/>
    <w:basedOn w:val="1"/>
    <w:qFormat/>
    <w:uiPriority w:val="0"/>
    <w:pPr>
      <w:spacing w:line="240" w:lineRule="auto"/>
      <w:ind w:left="737" w:hanging="737"/>
    </w:pPr>
    <w:rPr>
      <w:rFonts w:eastAsia="Times New Roman" w:cs="Times New Roman"/>
      <w:i/>
      <w:color w:val="0000FF"/>
      <w:sz w:val="20"/>
      <w:szCs w:val="20"/>
      <w:lang w:val="en-US" w:eastAsia="de-DE"/>
    </w:rPr>
  </w:style>
  <w:style w:type="paragraph" w:customStyle="1" w:styleId="25">
    <w:name w:val="Body"/>
    <w:basedOn w:val="1"/>
    <w:uiPriority w:val="0"/>
    <w:pPr>
      <w:spacing w:before="120" w:line="240" w:lineRule="auto"/>
      <w:ind w:left="709"/>
    </w:pPr>
    <w:rPr>
      <w:rFonts w:eastAsia="Times New Roman" w:cs="Times New Roman"/>
      <w:sz w:val="20"/>
      <w:szCs w:val="20"/>
      <w:lang w:val="en-US" w:eastAsia="de-D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1005</Words>
  <Characters>5381</Characters>
  <Lines>8</Lines>
  <Paragraphs>2</Paragraphs>
  <TotalTime>1</TotalTime>
  <ScaleCrop>false</ScaleCrop>
  <LinksUpToDate>false</LinksUpToDate>
  <CharactersWithSpaces>6237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2026-06-05T00:22:00Z</dcterms:created>
  <dc:creator>nurlida basir</dc:creator>
  <cp:lastModifiedBy>Syukri Zainal</cp:lastModifiedBy>
  <dcterms:modified xsi:type="dcterms:W3CDTF">2026-07-06T17:50:21Z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eyJoZGlkIjoiNGY2NWFkYjJhY2U1MDIwNTViOWMyODE1ZDFiZmJlMjUiLCJ1c2VySWQiOiIxMTE2OTYxMjYyODU2In0=</vt:lpwstr>
  </property>
  <property fmtid="{D5CDD505-2E9C-101B-9397-08002B2CF9AE}" pid="3" name="KSOProductBuildVer">
    <vt:lpwstr>1033-12.1.0.26880</vt:lpwstr>
  </property>
  <property fmtid="{D5CDD505-2E9C-101B-9397-08002B2CF9AE}" pid="4" name="ICV">
    <vt:lpwstr>0E274334C75041FC9A2541DBB9CA9670_12</vt:lpwstr>
  </property>
</Properties>
</file>