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84E9" w14:textId="77777777" w:rsidR="00F46BD2" w:rsidRDefault="00DC65FF">
      <w:pPr>
        <w:pStyle w:val="Title"/>
        <w:jc w:val="center"/>
        <w:rPr>
          <w:rFonts w:ascii="Aptos" w:hAnsi="Aptos"/>
          <w:color w:val="1F4E79"/>
          <w:sz w:val="48"/>
          <w:szCs w:val="48"/>
        </w:rPr>
      </w:pPr>
      <w:r w:rsidRPr="00DC65FF">
        <w:rPr>
          <w:rFonts w:ascii="Aptos" w:hAnsi="Aptos"/>
          <w:b/>
          <w:bCs/>
          <w:color w:val="1F4E79"/>
          <w:sz w:val="48"/>
          <w:szCs w:val="48"/>
        </w:rPr>
        <w:t>Supply Chain Issues Review</w:t>
      </w:r>
    </w:p>
    <w:p w14:paraId="50B1C49D" w14:textId="77777777" w:rsidR="00DC65FF" w:rsidRDefault="00DC65FF">
      <w:pPr>
        <w:pStyle w:val="Subtitle"/>
        <w:jc w:val="center"/>
        <w:rPr>
          <w:rFonts w:ascii="Aptos" w:hAnsi="Aptos"/>
          <w:color w:val="5B6573"/>
        </w:rPr>
      </w:pPr>
      <w:r>
        <w:rPr>
          <w:rFonts w:ascii="Aptos" w:hAnsi="Aptos"/>
          <w:color w:val="5B6573"/>
        </w:rPr>
        <w:t>Review of critical component risks affecting quality, production continuity, and FDA compliance</w:t>
      </w:r>
    </w:p>
    <w:p w14:paraId="5F89D7E3" w14:textId="77777777" w:rsidR="00DC65FF" w:rsidRDefault="00DC65FF">
      <w:pPr>
        <w:pStyle w:val="Heading1"/>
        <w:rPr>
          <w:rFonts w:ascii="Aptos" w:hAnsi="Aptos" w:cstheme="minorBidi"/>
          <w:color w:val="1F4E79"/>
          <w:sz w:val="36"/>
          <w:szCs w:val="36"/>
        </w:rPr>
      </w:pPr>
      <w:r>
        <w:rPr>
          <w:rFonts w:ascii="Aptos" w:hAnsi="Aptos" w:cstheme="minorBidi"/>
          <w:color w:val="1F4E79"/>
          <w:sz w:val="36"/>
          <w:szCs w:val="36"/>
        </w:rPr>
        <w:t>Introduction</w:t>
      </w:r>
    </w:p>
    <w:p w14:paraId="655F09B2" w14:textId="77777777" w:rsidR="00DC65FF" w:rsidRDefault="00DC65FF">
      <w:pPr>
        <w:rPr>
          <w:sz w:val="22"/>
          <w:szCs w:val="22"/>
        </w:rPr>
      </w:pPr>
      <w:r>
        <w:rPr>
          <w:sz w:val="22"/>
          <w:szCs w:val="22"/>
        </w:rPr>
        <w:t>This report reviews urgent supply-chain issues affecting components BIND567, COMP042, and COMP043. The reported failures span material quality, batch traceability, supplier performance, and delivery reliability, creating interconnected risks to production continuity, product efficacy, operating costs, and continued FDA compliance. The purpose of this review is to define the business problem clearly and set out a coordinated response for management, procurement, quality assurance, regulatory affairs, and supply-chain teams.</w:t>
      </w:r>
    </w:p>
    <w:p w14:paraId="37144163" w14:textId="77777777" w:rsidR="00DC65FF" w:rsidRDefault="00DC65FF">
      <w:pPr>
        <w:pStyle w:val="Heading1"/>
        <w:rPr>
          <w:rFonts w:ascii="Aptos" w:hAnsi="Aptos" w:cstheme="minorBidi"/>
          <w:color w:val="1F4E79"/>
          <w:sz w:val="36"/>
          <w:szCs w:val="36"/>
        </w:rPr>
      </w:pPr>
      <w:r>
        <w:rPr>
          <w:rFonts w:ascii="Aptos" w:hAnsi="Aptos" w:cstheme="minorBidi"/>
          <w:color w:val="1F4E79"/>
          <w:sz w:val="36"/>
          <w:szCs w:val="36"/>
        </w:rPr>
        <w:t>Outline of the Business Problem</w:t>
      </w:r>
    </w:p>
    <w:p w14:paraId="0A88249C" w14:textId="77777777" w:rsidR="00DC65FF" w:rsidRDefault="00DC65FF">
      <w:pPr>
        <w:pStyle w:val="Heading2"/>
        <w:rPr>
          <w:rFonts w:ascii="Aptos" w:hAnsi="Aptos" w:cstheme="minorBidi"/>
          <w:color w:val="2F5597"/>
          <w:sz w:val="28"/>
          <w:szCs w:val="28"/>
        </w:rPr>
      </w:pPr>
      <w:r>
        <w:rPr>
          <w:rFonts w:ascii="Aptos" w:hAnsi="Aptos" w:cstheme="minorBidi"/>
          <w:color w:val="2F5597"/>
          <w:sz w:val="28"/>
          <w:szCs w:val="28"/>
        </w:rPr>
        <w:t>BIND567: Quality and Manufacturing Instability</w:t>
      </w:r>
    </w:p>
    <w:p w14:paraId="1B7107B3" w14:textId="77777777" w:rsidR="00DC65FF" w:rsidRDefault="00DC65FF">
      <w:pPr>
        <w:rPr>
          <w:sz w:val="22"/>
          <w:szCs w:val="22"/>
        </w:rPr>
      </w:pPr>
      <w:r>
        <w:rPr>
          <w:sz w:val="22"/>
          <w:szCs w:val="22"/>
        </w:rPr>
        <w:t xml:space="preserve">Recent BIND567 batches have shown inconsistent molecular composition and multiple quality-control failures. These deviations are causing stability problems and unpredictable manufacturing reactions, contributing to defective products and production delays. </w:t>
      </w:r>
      <w:proofErr w:type="gramStart"/>
      <w:r>
        <w:rPr>
          <w:sz w:val="22"/>
          <w:szCs w:val="22"/>
        </w:rPr>
        <w:t>The instability</w:t>
      </w:r>
      <w:proofErr w:type="gramEnd"/>
      <w:r>
        <w:rPr>
          <w:sz w:val="22"/>
          <w:szCs w:val="22"/>
        </w:rPr>
        <w:t xml:space="preserve"> may also affect final-product efficacy, creating a significant regulatory and operational risk if the material continues to be used without documented assessment and disposition.</w:t>
      </w:r>
    </w:p>
    <w:p w14:paraId="264D1AAE" w14:textId="77777777" w:rsidR="00DC65FF" w:rsidRDefault="00DC65FF">
      <w:pPr>
        <w:pStyle w:val="Heading2"/>
        <w:rPr>
          <w:rFonts w:ascii="Aptos" w:hAnsi="Aptos" w:cstheme="minorBidi"/>
          <w:color w:val="2F5597"/>
          <w:sz w:val="28"/>
          <w:szCs w:val="28"/>
        </w:rPr>
      </w:pPr>
      <w:r>
        <w:rPr>
          <w:rFonts w:ascii="Aptos" w:hAnsi="Aptos" w:cstheme="minorBidi"/>
          <w:color w:val="2F5597"/>
          <w:sz w:val="28"/>
          <w:szCs w:val="28"/>
        </w:rPr>
        <w:t>COMP042: Traceability and Supply Reliability</w:t>
      </w:r>
    </w:p>
    <w:p w14:paraId="7A2485EA" w14:textId="77777777" w:rsidR="00DC65FF" w:rsidRDefault="00DC65FF">
      <w:pPr>
        <w:rPr>
          <w:sz w:val="22"/>
          <w:szCs w:val="22"/>
        </w:rPr>
      </w:pPr>
      <w:r>
        <w:rPr>
          <w:sz w:val="22"/>
          <w:szCs w:val="22"/>
        </w:rPr>
        <w:t xml:space="preserve">COMP042 shipments are arriving late and with </w:t>
      </w:r>
      <w:proofErr w:type="gramStart"/>
      <w:r>
        <w:rPr>
          <w:sz w:val="22"/>
          <w:szCs w:val="22"/>
        </w:rPr>
        <w:t>incorrect lot</w:t>
      </w:r>
      <w:proofErr w:type="gramEnd"/>
      <w:r>
        <w:rPr>
          <w:sz w:val="22"/>
          <w:szCs w:val="22"/>
        </w:rPr>
        <w:t xml:space="preserve"> numbers, while available documentation is insufficient to confirm component origin and handling. This lack of traceability raises concerns about possible contamination and weakens the company’s ability to demonstrate regulatory compliance. The supplier’s inconsistent delivery performance is also causing production bottlenecks, downtime, and higher operating costs.</w:t>
      </w:r>
    </w:p>
    <w:p w14:paraId="0A11A2DF" w14:textId="77777777" w:rsidR="00DC65FF" w:rsidRDefault="00DC65FF">
      <w:pPr>
        <w:pStyle w:val="Heading2"/>
        <w:rPr>
          <w:rFonts w:ascii="Aptos" w:hAnsi="Aptos" w:cstheme="minorBidi"/>
          <w:color w:val="2F5597"/>
          <w:sz w:val="28"/>
          <w:szCs w:val="28"/>
        </w:rPr>
      </w:pPr>
      <w:r>
        <w:rPr>
          <w:rFonts w:ascii="Aptos" w:hAnsi="Aptos" w:cstheme="minorBidi"/>
          <w:color w:val="2F5597"/>
          <w:sz w:val="28"/>
          <w:szCs w:val="28"/>
        </w:rPr>
        <w:t>COMP043: GMP, Purity, and Stock Availability</w:t>
      </w:r>
    </w:p>
    <w:p w14:paraId="5F042346" w14:textId="77777777" w:rsidR="00DC65FF" w:rsidRDefault="00DC65FF">
      <w:pPr>
        <w:rPr>
          <w:sz w:val="22"/>
          <w:szCs w:val="22"/>
        </w:rPr>
      </w:pPr>
      <w:r>
        <w:rPr>
          <w:sz w:val="22"/>
          <w:szCs w:val="22"/>
        </w:rPr>
        <w:t>The COMP043 supplier is reportedly failing to meet Good Manufacturing Practice expectations, resulting in batches that do not satisfy purity standards. Erratic delivery schedules are also creating stockouts and disrupting production planning. Continued supplier unreliability threatens both compliance and continuity, while any move to an alternative supplier may introduce qualification requirements and transition delays.</w:t>
      </w:r>
    </w:p>
    <w:p w14:paraId="767ED5E6" w14:textId="77777777" w:rsidR="00DC65FF" w:rsidRDefault="00DC65FF">
      <w:pPr>
        <w:pStyle w:val="Heading2"/>
        <w:rPr>
          <w:rFonts w:ascii="Aptos" w:hAnsi="Aptos" w:cstheme="minorBidi"/>
          <w:color w:val="2F5597"/>
          <w:sz w:val="28"/>
          <w:szCs w:val="28"/>
        </w:rPr>
      </w:pPr>
      <w:r>
        <w:rPr>
          <w:rFonts w:ascii="Aptos" w:hAnsi="Aptos" w:cstheme="minorBidi"/>
          <w:color w:val="2F5597"/>
          <w:sz w:val="28"/>
          <w:szCs w:val="28"/>
        </w:rPr>
        <w:t>Overall Business Impact</w:t>
      </w:r>
    </w:p>
    <w:p w14:paraId="0580DB07" w14:textId="77777777" w:rsidR="00DC65FF" w:rsidRPr="00DC65FF" w:rsidRDefault="00DC65FF" w:rsidP="00DC65FF">
      <w:pPr>
        <w:pStyle w:val="ListParagraph"/>
        <w:numPr>
          <w:ilvl w:val="0"/>
          <w:numId w:val="2"/>
        </w:numPr>
        <w:rPr>
          <w:sz w:val="22"/>
          <w:szCs w:val="22"/>
        </w:rPr>
      </w:pPr>
      <w:r w:rsidRPr="00DC65FF">
        <w:rPr>
          <w:b/>
          <w:bCs/>
          <w:sz w:val="22"/>
          <w:szCs w:val="22"/>
        </w:rPr>
        <w:t>Regulatory exposure:</w:t>
      </w:r>
      <w:r w:rsidRPr="00DC65FF">
        <w:rPr>
          <w:sz w:val="22"/>
          <w:szCs w:val="22"/>
        </w:rPr>
        <w:t xml:space="preserve"> Potential FDA non-compliance, penalties, production restrictions, and reputational harm.</w:t>
      </w:r>
    </w:p>
    <w:p w14:paraId="3B5F5610" w14:textId="77777777" w:rsidR="00DC65FF" w:rsidRDefault="00DC65FF" w:rsidP="00DC65FF">
      <w:pPr>
        <w:pStyle w:val="ListParagraph"/>
        <w:numPr>
          <w:ilvl w:val="0"/>
          <w:numId w:val="2"/>
        </w:numPr>
        <w:rPr>
          <w:sz w:val="22"/>
          <w:szCs w:val="22"/>
        </w:rPr>
      </w:pPr>
      <w:r>
        <w:rPr>
          <w:b/>
          <w:bCs/>
          <w:sz w:val="22"/>
          <w:szCs w:val="22"/>
        </w:rPr>
        <w:t>Operational disruption:</w:t>
      </w:r>
      <w:r>
        <w:rPr>
          <w:sz w:val="22"/>
          <w:szCs w:val="22"/>
        </w:rPr>
        <w:t xml:space="preserve"> Increased rejection rates, downtime, stockouts, delayed production, and possible interruption of manufacturing.</w:t>
      </w:r>
    </w:p>
    <w:p w14:paraId="53757855" w14:textId="77777777" w:rsidR="00DC65FF" w:rsidRDefault="00DC65FF" w:rsidP="00DC65FF">
      <w:pPr>
        <w:pStyle w:val="ListParagraph"/>
        <w:numPr>
          <w:ilvl w:val="0"/>
          <w:numId w:val="2"/>
        </w:numPr>
        <w:rPr>
          <w:sz w:val="22"/>
          <w:szCs w:val="22"/>
        </w:rPr>
      </w:pPr>
      <w:r>
        <w:rPr>
          <w:b/>
          <w:bCs/>
          <w:sz w:val="22"/>
          <w:szCs w:val="22"/>
        </w:rPr>
        <w:lastRenderedPageBreak/>
        <w:t>Product risk:</w:t>
      </w:r>
      <w:r>
        <w:rPr>
          <w:sz w:val="22"/>
          <w:szCs w:val="22"/>
        </w:rPr>
        <w:t xml:space="preserve"> Uncertain material quality, possible contamination, purity failures, and potential impact on final-product efficacy.</w:t>
      </w:r>
    </w:p>
    <w:p w14:paraId="5C962A85" w14:textId="77777777" w:rsidR="00DC65FF" w:rsidRDefault="00DC65FF" w:rsidP="00DC65FF">
      <w:pPr>
        <w:pStyle w:val="ListParagraph"/>
        <w:numPr>
          <w:ilvl w:val="0"/>
          <w:numId w:val="2"/>
        </w:numPr>
        <w:rPr>
          <w:sz w:val="22"/>
          <w:szCs w:val="22"/>
        </w:rPr>
      </w:pPr>
      <w:r>
        <w:rPr>
          <w:b/>
          <w:bCs/>
          <w:sz w:val="22"/>
          <w:szCs w:val="22"/>
        </w:rPr>
        <w:t>Financial pressure:</w:t>
      </w:r>
      <w:r>
        <w:rPr>
          <w:sz w:val="22"/>
          <w:szCs w:val="22"/>
        </w:rPr>
        <w:t xml:space="preserve"> Higher operating costs, wasted materials, expedited sourcing expenses, and reduced production capacity.</w:t>
      </w:r>
    </w:p>
    <w:p w14:paraId="07EA21C3" w14:textId="77777777" w:rsidR="00DC65FF" w:rsidRDefault="00DC65FF" w:rsidP="00DC65FF">
      <w:pPr>
        <w:pStyle w:val="ListParagraph"/>
        <w:numPr>
          <w:ilvl w:val="0"/>
          <w:numId w:val="2"/>
        </w:numPr>
        <w:rPr>
          <w:sz w:val="22"/>
          <w:szCs w:val="22"/>
        </w:rPr>
      </w:pPr>
      <w:r>
        <w:rPr>
          <w:b/>
          <w:bCs/>
          <w:sz w:val="22"/>
          <w:szCs w:val="22"/>
        </w:rPr>
        <w:t>Supplier dependency:</w:t>
      </w:r>
      <w:r>
        <w:rPr>
          <w:sz w:val="22"/>
          <w:szCs w:val="22"/>
        </w:rPr>
        <w:t xml:space="preserve"> Limited confidence in current suppliers and potential delays associated with qualifying alternatives.</w:t>
      </w:r>
    </w:p>
    <w:p w14:paraId="5CB7D29E" w14:textId="77777777" w:rsidR="00DC65FF" w:rsidRDefault="00DC65FF">
      <w:pPr>
        <w:pStyle w:val="Heading1"/>
        <w:rPr>
          <w:rFonts w:ascii="Aptos" w:hAnsi="Aptos" w:cstheme="minorBidi"/>
          <w:color w:val="1F4E79"/>
          <w:sz w:val="36"/>
          <w:szCs w:val="36"/>
        </w:rPr>
      </w:pPr>
      <w:r>
        <w:rPr>
          <w:rFonts w:ascii="Aptos" w:hAnsi="Aptos" w:cstheme="minorBidi"/>
          <w:color w:val="1F4E79"/>
          <w:sz w:val="36"/>
          <w:szCs w:val="36"/>
        </w:rPr>
        <w:t>Action Items</w:t>
      </w:r>
    </w:p>
    <w:tbl>
      <w:tblPr>
        <w:tblW w:w="5000" w:type="pct"/>
        <w:tblBorders>
          <w:top w:val="outset" w:sz="6" w:space="0" w:color="A6A6A6"/>
          <w:left w:val="outset" w:sz="6" w:space="0" w:color="A6A6A6"/>
          <w:bottom w:val="outset" w:sz="6" w:space="0" w:color="A6A6A6"/>
          <w:right w:val="outset" w:sz="6" w:space="0" w:color="A6A6A6"/>
        </w:tblBorders>
        <w:tblCellMar>
          <w:top w:w="60" w:type="dxa"/>
          <w:left w:w="60" w:type="dxa"/>
          <w:bottom w:w="60" w:type="dxa"/>
          <w:right w:w="60" w:type="dxa"/>
        </w:tblCellMar>
        <w:tblLook w:val="04A0" w:firstRow="1" w:lastRow="0" w:firstColumn="1" w:lastColumn="0" w:noHBand="0" w:noVBand="1"/>
      </w:tblPr>
      <w:tblGrid>
        <w:gridCol w:w="1009"/>
        <w:gridCol w:w="5007"/>
        <w:gridCol w:w="1958"/>
        <w:gridCol w:w="1648"/>
      </w:tblGrid>
      <w:tr w:rsidR="00DC65FF" w14:paraId="03A58A66" w14:textId="77777777">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32B4FE62" w14:textId="77777777" w:rsidR="00DC65FF" w:rsidRDefault="00DC65FF">
            <w:r>
              <w:rPr>
                <w:b/>
                <w:bCs/>
              </w:rPr>
              <w:t>Priority</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648FCD0A" w14:textId="77777777" w:rsidR="00DC65FF" w:rsidRDefault="00DC65FF">
            <w:r>
              <w:rPr>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7BB9F7DC" w14:textId="77777777" w:rsidR="00DC65FF" w:rsidRDefault="00DC65FF">
            <w:r>
              <w:rPr>
                <w:b/>
                <w:bCs/>
              </w:rPr>
              <w:t>Proposed Owner</w:t>
            </w:r>
          </w:p>
        </w:tc>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28669D19" w14:textId="77777777" w:rsidR="00DC65FF" w:rsidRDefault="00DC65FF">
            <w:r>
              <w:rPr>
                <w:b/>
                <w:bCs/>
              </w:rPr>
              <w:t>Timing</w:t>
            </w:r>
          </w:p>
        </w:tc>
      </w:tr>
      <w:tr w:rsidR="00DC65FF" w14:paraId="0F4F58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BB1505" w14:textId="77777777" w:rsidR="00DC65FF" w:rsidRDefault="00DC65FF">
            <w:r>
              <w:rPr>
                <w:b/>
                <w:bC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20981" w14:textId="77777777" w:rsidR="00DC65FF" w:rsidRDefault="00DC65FF">
            <w:r>
              <w:t>Convene a cross-functional incident meeting, appoint a response lead, and confirm authority for batch disposition, production holds, supplier escalation, and regulatory decisions.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3658B" w14:textId="77777777" w:rsidR="00DC65FF" w:rsidRDefault="00DC65FF">
            <w:r>
              <w:t>Senior Sponsor / Supply Chain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B5601" w14:textId="77777777" w:rsidR="00DC65FF" w:rsidRDefault="00DC65FF">
            <w:r>
              <w:t>Immediate</w:t>
            </w:r>
          </w:p>
        </w:tc>
      </w:tr>
      <w:tr w:rsidR="00DC65FF" w14:paraId="251BB9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F1D5F1" w14:textId="77777777" w:rsidR="00DC65FF" w:rsidRDefault="00DC65FF">
            <w:r>
              <w:rPr>
                <w:b/>
                <w:bC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97BFB" w14:textId="77777777" w:rsidR="00DC65FF" w:rsidRDefault="00DC65FF">
            <w:proofErr w:type="gramStart"/>
            <w:r>
              <w:t>Place</w:t>
            </w:r>
            <w:proofErr w:type="gramEnd"/>
            <w:r>
              <w:t xml:space="preserve"> potentially affected BIND567, COMP042, and COMP043 lots under </w:t>
            </w:r>
            <w:proofErr w:type="gramStart"/>
            <w:r>
              <w:t>controlled</w:t>
            </w:r>
            <w:proofErr w:type="gramEnd"/>
            <w:r>
              <w:t xml:space="preserve"> </w:t>
            </w:r>
            <w:proofErr w:type="gramStart"/>
            <w:r>
              <w:t>hold</w:t>
            </w:r>
            <w:proofErr w:type="gramEnd"/>
            <w:r>
              <w:t xml:space="preserve"> until Quality Assurance and Regulatory Affairs complete and document their assessment.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628B9" w14:textId="77777777" w:rsidR="00DC65FF" w:rsidRDefault="00DC65FF">
            <w:r>
              <w:t>Quality Assurance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50132" w14:textId="77777777" w:rsidR="00DC65FF" w:rsidRDefault="00DC65FF">
            <w:r>
              <w:t>Immediate</w:t>
            </w:r>
          </w:p>
        </w:tc>
      </w:tr>
      <w:tr w:rsidR="00DC65FF" w14:paraId="616177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ADF105" w14:textId="77777777" w:rsidR="00DC65FF" w:rsidRDefault="00DC65FF">
            <w:r>
              <w:rPr>
                <w:b/>
                <w:bCs/>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40CE2" w14:textId="77777777" w:rsidR="00DC65FF" w:rsidRDefault="00DC65FF">
            <w:r>
              <w:t>Validate BIND567 quality and stability results, reconcile COMP042 lot numbers and traceability records, and assess COMP043 purity and supplier GMP evidence.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EF931" w14:textId="77777777" w:rsidR="00DC65FF" w:rsidRDefault="00DC65FF">
            <w:r>
              <w:t>Quality Assurance / Regulatory Affairs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AA464" w14:textId="77777777" w:rsidR="00DC65FF" w:rsidRDefault="00DC65FF">
            <w:r>
              <w:t>Before release or further use</w:t>
            </w:r>
          </w:p>
        </w:tc>
      </w:tr>
      <w:tr w:rsidR="00DC65FF" w14:paraId="6C64DD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40EEB" w14:textId="77777777" w:rsidR="00DC65FF" w:rsidRDefault="00DC65FF">
            <w:r>
              <w:rPr>
                <w:b/>
                <w:bC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D36B8" w14:textId="77777777" w:rsidR="00DC65FF" w:rsidRDefault="00DC65FF">
            <w:r>
              <w:t>Issue formal supplier escalations requiring investigation results, corrective and preventive actions, complete documentation, and supply-recovery plans.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919AC" w14:textId="77777777" w:rsidR="00DC65FF" w:rsidRDefault="00DC65FF">
            <w:r>
              <w:t>Procurement / Supplier 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A9362" w14:textId="77777777" w:rsidR="00DC65FF" w:rsidRDefault="00DC65FF">
            <w:r>
              <w:t>Set at incident meeting</w:t>
            </w:r>
          </w:p>
        </w:tc>
      </w:tr>
      <w:tr w:rsidR="00DC65FF" w14:paraId="0DFF91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8ED192" w14:textId="77777777" w:rsidR="00DC65FF" w:rsidRDefault="00DC65FF">
            <w:r>
              <w:rPr>
                <w:b/>
                <w:bC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AB25F" w14:textId="77777777" w:rsidR="00DC65FF" w:rsidRDefault="00DC65FF">
            <w:r>
              <w:t>Evaluate qualified alternative sources for COMP042 and COMP043, including qualification requirements, lead times, transition risks, and continuity measures.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9A262" w14:textId="77777777" w:rsidR="00DC65FF" w:rsidRDefault="00DC65FF">
            <w:r>
              <w:t>Procurement / Supply Chain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7421A" w14:textId="77777777" w:rsidR="00DC65FF" w:rsidRDefault="00DC65FF">
            <w:r>
              <w:t>Plan agreed at incident meeting</w:t>
            </w:r>
          </w:p>
        </w:tc>
      </w:tr>
    </w:tbl>
    <w:p w14:paraId="0E1E7059" w14:textId="77777777" w:rsidR="00DC65FF" w:rsidRDefault="00DC65FF"/>
    <w:p w14:paraId="506AAF79" w14:textId="77777777" w:rsidR="00DC65FF" w:rsidRDefault="00DC65FF">
      <w:pPr>
        <w:pStyle w:val="Heading1"/>
        <w:rPr>
          <w:rFonts w:ascii="Aptos" w:hAnsi="Aptos" w:cstheme="minorBidi"/>
          <w:color w:val="1F4E79"/>
          <w:sz w:val="36"/>
          <w:szCs w:val="36"/>
        </w:rPr>
      </w:pPr>
      <w:r>
        <w:rPr>
          <w:rFonts w:ascii="Aptos" w:hAnsi="Aptos" w:cstheme="minorBidi"/>
          <w:color w:val="1F4E79"/>
          <w:sz w:val="36"/>
          <w:szCs w:val="36"/>
        </w:rPr>
        <w:t>Conclusion</w:t>
      </w:r>
    </w:p>
    <w:p w14:paraId="753D9F8F" w14:textId="77777777" w:rsidR="00DC65FF" w:rsidRDefault="00DC65FF">
      <w:pPr>
        <w:rPr>
          <w:sz w:val="22"/>
          <w:szCs w:val="22"/>
        </w:rPr>
      </w:pPr>
      <w:r>
        <w:rPr>
          <w:sz w:val="22"/>
          <w:szCs w:val="22"/>
        </w:rPr>
        <w:t xml:space="preserve">The issues affecting BIND567, COMP042, and COMP043 require immediate, coordinated containment rather than isolated supplier follow-up. Management should first control potentially affected materials, establish decision ownership, and complete documented quality, traceability, and </w:t>
      </w:r>
      <w:r>
        <w:rPr>
          <w:sz w:val="22"/>
          <w:szCs w:val="22"/>
        </w:rPr>
        <w:lastRenderedPageBreak/>
        <w:t>regulatory assessments. In parallel, supplier remediation and alternative sourcing should be pursued to restore a stable, compliant supply chain and reduce the risk of further production, financial, and reputational damage.</w:t>
      </w:r>
    </w:p>
    <w:p w14:paraId="28E8E647" w14:textId="77777777" w:rsidR="00F46BD2" w:rsidRDefault="00F46BD2"/>
    <w:sectPr w:rsidR="00F46BD2">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6125C"/>
    <w:multiLevelType w:val="multilevel"/>
    <w:tmpl w:val="1B1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52B88"/>
    <w:multiLevelType w:val="multilevel"/>
    <w:tmpl w:val="2E66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865954">
    <w:abstractNumId w:val="1"/>
  </w:num>
  <w:num w:numId="2" w16cid:durableId="172675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6B"/>
    <w:rsid w:val="000C37E4"/>
    <w:rsid w:val="00174389"/>
    <w:rsid w:val="00332EDD"/>
    <w:rsid w:val="004C3E42"/>
    <w:rsid w:val="004F4A13"/>
    <w:rsid w:val="0072510A"/>
    <w:rsid w:val="00770B99"/>
    <w:rsid w:val="007E584F"/>
    <w:rsid w:val="0088686B"/>
    <w:rsid w:val="00A75F6E"/>
    <w:rsid w:val="00D97394"/>
    <w:rsid w:val="00DC65FF"/>
    <w:rsid w:val="00F46BD2"/>
    <w:rsid w:val="00F87C94"/>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3CD8"/>
  <w15:chartTrackingRefBased/>
  <w15:docId w15:val="{039122B3-2E56-41CC-8B78-565757FF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86B"/>
    <w:rPr>
      <w:rFonts w:eastAsiaTheme="majorEastAsia" w:cstheme="majorBidi"/>
      <w:color w:val="272727" w:themeColor="text1" w:themeTint="D8"/>
    </w:rPr>
  </w:style>
  <w:style w:type="paragraph" w:styleId="Title">
    <w:name w:val="Title"/>
    <w:basedOn w:val="Normal"/>
    <w:next w:val="Normal"/>
    <w:link w:val="TitleChar"/>
    <w:uiPriority w:val="10"/>
    <w:qFormat/>
    <w:rsid w:val="00886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86B"/>
    <w:pPr>
      <w:spacing w:before="160"/>
      <w:jc w:val="center"/>
    </w:pPr>
    <w:rPr>
      <w:i/>
      <w:iCs/>
      <w:color w:val="404040" w:themeColor="text1" w:themeTint="BF"/>
    </w:rPr>
  </w:style>
  <w:style w:type="character" w:customStyle="1" w:styleId="QuoteChar">
    <w:name w:val="Quote Char"/>
    <w:basedOn w:val="DefaultParagraphFont"/>
    <w:link w:val="Quote"/>
    <w:uiPriority w:val="29"/>
    <w:rsid w:val="0088686B"/>
    <w:rPr>
      <w:i/>
      <w:iCs/>
      <w:color w:val="404040" w:themeColor="text1" w:themeTint="BF"/>
    </w:rPr>
  </w:style>
  <w:style w:type="paragraph" w:styleId="ListParagraph">
    <w:name w:val="List Paragraph"/>
    <w:basedOn w:val="Normal"/>
    <w:uiPriority w:val="34"/>
    <w:qFormat/>
    <w:rsid w:val="0088686B"/>
    <w:pPr>
      <w:ind w:left="720"/>
      <w:contextualSpacing/>
    </w:pPr>
  </w:style>
  <w:style w:type="character" w:styleId="IntenseEmphasis">
    <w:name w:val="Intense Emphasis"/>
    <w:basedOn w:val="DefaultParagraphFont"/>
    <w:uiPriority w:val="21"/>
    <w:qFormat/>
    <w:rsid w:val="0088686B"/>
    <w:rPr>
      <w:i/>
      <w:iCs/>
      <w:color w:val="0F4761" w:themeColor="accent1" w:themeShade="BF"/>
    </w:rPr>
  </w:style>
  <w:style w:type="paragraph" w:styleId="IntenseQuote">
    <w:name w:val="Intense Quote"/>
    <w:basedOn w:val="Normal"/>
    <w:next w:val="Normal"/>
    <w:link w:val="IntenseQuoteChar"/>
    <w:uiPriority w:val="30"/>
    <w:qFormat/>
    <w:rsid w:val="00886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6B"/>
    <w:rPr>
      <w:i/>
      <w:iCs/>
      <w:color w:val="0F4761" w:themeColor="accent1" w:themeShade="BF"/>
    </w:rPr>
  </w:style>
  <w:style w:type="character" w:styleId="IntenseReference">
    <w:name w:val="Intense Reference"/>
    <w:basedOn w:val="DefaultParagraphFont"/>
    <w:uiPriority w:val="32"/>
    <w:qFormat/>
    <w:rsid w:val="0088686B"/>
    <w:rPr>
      <w:b/>
      <w:bCs/>
      <w:smallCaps/>
      <w:color w:val="0F4761" w:themeColor="accent1" w:themeShade="BF"/>
      <w:spacing w:val="5"/>
    </w:rPr>
  </w:style>
  <w:style w:type="table" w:styleId="GridTable4-Accent1">
    <w:name w:val="Grid Table 4 Accent 1"/>
    <w:basedOn w:val="TableNormal"/>
    <w:uiPriority w:val="49"/>
    <w:rsid w:val="00770B99"/>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table" w:styleId="ListTable1Light-Accent1">
    <w:name w:val="List Table 1 Light Accent 1"/>
    <w:basedOn w:val="TableNormal"/>
    <w:uiPriority w:val="46"/>
    <w:rsid w:val="00770B99"/>
    <w:pPr>
      <w:spacing w:after="0" w:line="240" w:lineRule="auto"/>
    </w:p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Shah-Aga, Said-Aga</dc:creator>
  <cp:keywords/>
  <dc:description/>
  <cp:lastModifiedBy>Shah-Aga, Said-Aga</cp:lastModifiedBy>
  <cp:revision>1</cp:revision>
  <dcterms:created xsi:type="dcterms:W3CDTF">2026-08-27T09:51:00Z</dcterms:created>
  <dcterms:modified xsi:type="dcterms:W3CDTF">2026-08-27T10:10:00Z</dcterms:modified>
</cp:coreProperties>
</file>