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注：标*公司为中金覆盖，采用中金预测数据；其余使用市场一致预期 </w:t>
      </w:r>
      <w:r>
        <w:rPr>
          <w:sz w:val="20"/>
        </w:rPr>
        <w:t xml:space="preserve">002068.SZ 收盘于北京时间 2023-07-31； 688778.SH,605376.SH,688035.SH,688187.SH 收盘于北京时间 2023-08-11； 300750.SZ,002074.SZ, 300014.SZ, </w:t>
      </w:r>
      <w:r>
        <w:rPr>
          <w:sz w:val="20"/>
        </w:rPr>
        <w:t xml:space="preserve">300438.SZ, 300207.SZ, 688063.SH, 603659.SH, 300035.SZ, 600884.SH, 002812.SZ, 300568.SZ, 002080.SZ, 300073.SZ, 688005.SH, 300919.SZ, 002340.SZ, </w:t>
      </w:r>
      <w:r>
        <w:rPr>
          <w:sz w:val="20"/>
        </w:rPr>
        <w:t xml:space="preserve">300769.SZ, 688707.SH, 002125.SZ, 688148.SH, 688779.SH, 300037.SZ, 002407.SZ, 688388.SH, 600110.SH, 301150.SZ, 002288.SZ, 688116.SH, 688733.SH, </w:t>
      </w:r>
      <w:r>
        <w:rPr>
          <w:sz w:val="20"/>
        </w:rPr>
        <w:t xml:space="preserve">002992.SZ, 300041.SZ, 300019.SZ, 300124.SZ, 600885.SH, 002050.SZ, 600580.SH, 002706.SZ, 002126.SZ, 300731.SZ, 301031.SZ, 603290.SH, 300001.SZ, </w:t>
      </w:r>
      <w:r>
        <w:rPr>
          <w:sz w:val="20"/>
        </w:rPr>
        <w:t xml:space="preserve">002276.SZ, 300820.SZ, 002518.SZ, 300693.SZ, 300360.SZ, 688208.SH, 600212.SH, 300491.SZ, 300870.SZ, 300351.SZ, 688339.SH, 601012.SH, 002221.SZ, </w:t>
      </w:r>
      <w:r>
        <w:rPr>
          <w:sz w:val="20"/>
        </w:rPr>
        <w:t xml:space="preserve">002639.SZ,300471.SZ,300985.SZ,000581.SZ,200581.SZ收盘于北京时间 2023-08-14；港股收盘于北京时间 2023-08-14 </w:t>
      </w:r>
      <w:r>
        <w:rPr>
          <w:sz w:val="20"/>
        </w:rPr>
        <w:t xml:space="preserve">资料来源：Wind，彭博资讯，公司公告，中金公司研究部 </w:t>
      </w:r>
    </w:p>
    <w:p>
      <w:pPr>
        <w:pStyle w:val="Heading1"/>
      </w:pPr>
      <w:r>
        <w:t>风险提示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新能源车销量不达预期。高压快充车型属于新能源车的一个细分类别，若新能源车总需求不及 </w:t>
      </w:r>
      <w:r>
        <w:rPr>
          <w:sz w:val="20"/>
        </w:rPr>
        <w:t xml:space="preserve">预期，将影响高压快充车型放量的力度，进而影响产业链的营收和利润。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高压快充车型量产不及预期。高压快充需整车架构和零部件同步升级，涉及到部分全新的产品 </w:t>
      </w:r>
      <w:r>
        <w:rPr>
          <w:sz w:val="20"/>
        </w:rPr>
        <w:t xml:space="preserve">或工艺，若供应链认证或者产能节拍跟不上，将影响高压快充车型量产的进程，进而影响高压快 </w:t>
      </w:r>
      <w:r>
        <w:rPr>
          <w:sz w:val="20"/>
        </w:rPr>
        <w:t xml:space="preserve">充车型产销，产业链升级将放缓。 </w:t>
      </w:r>
    </w:p>
    <w:p>
      <w:pPr>
        <w:ind w:firstLine="360"/>
      </w:pPr>
      <w:r>
        <w:rPr>
          <w:sz w:val="20"/>
        </w:rPr>
        <w:t xml:space="preserve">超充桩建设不及预期。高压快充车型需要匹配超充桩才能发挥其高效补能优势，而超充桩建设 </w:t>
      </w:r>
      <w:r>
        <w:rPr>
          <w:sz w:val="20"/>
        </w:rPr>
        <w:t xml:space="preserve">面临资金、土地、配电等问题，若超充桩建设不及预期，或将影响高压快充车的推广应用，进而 </w:t>
      </w:r>
      <w:r>
        <w:rPr>
          <w:sz w:val="20"/>
        </w:rPr>
        <w:t xml:space="preserve">影响销量。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