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法律声明</w:t>
      </w:r>
    </w:p>
    <w:p>
      <w:pPr>
        <w:pStyle w:val="Heading1"/>
      </w:pPr>
      <w:r>
        <w:t>一般声明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p>
    <w:p>
      <w:pPr>
        <w:ind w:firstLine="360"/>
      </w:pP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p>
    <w:p>
      <w:pPr>
        <w:ind w:firstLine="360"/>
      </w:pP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p>
    <w:p>
      <w:pPr>
        <w:ind w:firstLine="360"/>
      </w:pP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p>
    <w:p>
      <w:pPr>
        <w:ind w:firstLine="360"/>
      </w:pPr>
      <w:r>
        <w:rPr>
          <w:sz w:val="20"/>
        </w:rPr>
        <w:t xml:space="preserve">本报告由受香港证券及期货事务监察委员会监管的中国国际金融香港证券有限公司（“中金香港”）于香港提供。香港的投资者若有任何关于中金公司研究报告的问题请 </w:t>
      </w:r>
      <w:r>
        <w:rPr>
          <w:sz w:val="20"/>
        </w:rPr>
        <w:t xml:space="preserve">直接联系中金香港的销售交易代表。本报告作者所持香港证监会牌照的牌照编号已披露在报告首页的作者姓名旁。 </w:t>
      </w:r>
    </w:p>
    <w:p>
      <w:pPr>
        <w:ind w:firstLine="360"/>
      </w:pPr>
      <w:r>
        <w:rPr>
          <w:sz w:val="20"/>
        </w:rPr>
        <w:t xml:space="preserve">本报告由受新加坡金融管理局监管的中国国际金融（新加坡）有限公司（“中金新加坡”）于新加坡向符合新加坡《证券期货法》定义下的合格投资者及/或机构投资者 </w:t>
      </w:r>
      <w:r>
        <w:rPr>
          <w:sz w:val="20"/>
        </w:rPr>
        <w:t xml:space="preserve">提供。本报告无意也不应直接或间接地分发或传递给新加坡的任何其他人。提供本报告于合格投资者及/或机构投资者，有关财务顾问将无需根据新加坡之《财务顾问法》 </w:t>
      </w:r>
      <w:r>
        <w:rPr>
          <w:sz w:val="20"/>
        </w:rPr>
        <w:t xml:space="preserve">第 45 条就任何利益及/或其代表就任何证券利益进行披露。有关本报告之任何查询，在新加坡获得本报告的人员可联系中金新加坡持牌代表。 </w:t>
      </w:r>
    </w:p>
    <w:p>
      <w:pPr>
        <w:ind w:firstLine="360"/>
      </w:pPr>
      <w:r>
        <w:rPr>
          <w:sz w:val="20"/>
        </w:rPr>
        <w:t xml:space="preserve">本报告亦由中国国际金融股份有限公司向符合日本《金融商品交易法施行令》第17条第3款第1项及《金融商品交易法》第58条第2款但书前段所规定的日本金融 </w:t>
      </w:r>
      <w:r>
        <w:rPr>
          <w:sz w:val="20"/>
        </w:rPr>
        <w:t xml:space="preserve">机构提供。在该情形下，本报告有关的投资产品和服务仅向日本受监管的金融机构提供。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本报告将依据其他国家或地区的法律法规和监管要求于该国家或地区提供。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