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图表4：国内外车企加速布局高压快充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5387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67, 250, 1086, 1333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87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2.1电池：</w:t>
      </w:r>
    </w:p>
    <w:p>
      <w:pPr>
        <w:ind w:firstLine="360"/>
      </w:pPr>
      <w:r>
        <w:rPr>
          <w:sz w:val="20"/>
        </w:rPr>
        <w:t xml:space="preserve">目前主流的动力电池为容量型，充电倍率1-2C；高压快充下，动力电池需往功率型方向做调 </w:t>
      </w:r>
      <w:r>
        <w:rPr>
          <w:sz w:val="20"/>
        </w:rPr>
        <w:t xml:space="preserve">整，将充电倍率提升到3C以上、涉及材料本征的改进；同时，由于快充带来更严苛的散热需 </w:t>
      </w:r>
      <w:r>
        <w:rPr>
          <w:sz w:val="20"/>
        </w:rPr>
        <w:t xml:space="preserve">求，亦将带来电池结构的优化：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