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ind w:firstLine="360"/>
      </w:pPr>
      <w:r>
        <w:rPr>
          <w:sz w:val="20"/>
        </w:rPr>
        <w:t xml:space="preserve">的过程主要包括：1）锂离子溶剂化；2）溶剂化锂离子在电解液的体相中扩散；3）溶剂化Li+ </w:t>
      </w:r>
      <w:r>
        <w:rPr>
          <w:sz w:val="20"/>
        </w:rPr>
        <w:t xml:space="preserve">在SEI膜处去溶剂化；4）锂离子穿过SEI膜；5）在SEI-石墨界面上的电荷转移。通常，锂 </w:t>
      </w:r>
      <w:r>
        <w:rPr>
          <w:sz w:val="20"/>
        </w:rPr>
        <w:t xml:space="preserve">离子在液态电解质中的扩散系数比固体电极中的扩散系数高几个数量级，因此溶剂化Li+离子 </w:t>
      </w:r>
      <w:r>
        <w:rPr>
          <w:sz w:val="20"/>
        </w:rPr>
        <w:t xml:space="preserve">在SEI膜处的去溶剂化、去溶剂化离子在SEI膜中的传输，是决定锂电池快充性能的重要因 </w:t>
      </w:r>
      <w:r>
        <w:rPr>
          <w:sz w:val="20"/>
        </w:rPr>
        <w:t xml:space="preserve">素。大多数情况下，提高电解质的离子电导率有利于降低Li+离子的溶剂化和去溶剂化活化 </w:t>
      </w:r>
      <w:r>
        <w:rPr>
          <w:sz w:val="20"/>
        </w:rPr>
        <w:t xml:space="preserve">能，进而提升充电效率。 </w:t>
      </w:r>
    </w:p>
    <w:p>
      <w:pPr>
        <w:sectPr>
          <w:pgSz w:w="12240" w:h="15840"/>
          <w:pgMar w:top="1440" w:right="1800" w:bottom="1440" w:left="1800" w:header="720" w:footer="720" w:gutter="0"/>
          <w:cols w:space="720"/>
          <w:docGrid w:linePitch="360"/>
        </w:sectPr>
      </w:pPr>
    </w:p>
    <w:p>
      <w:pPr>
        <w:ind w:firstLine="360"/>
      </w:pPr>
      <w:r>
        <w:rPr>
          <w:sz w:val="20"/>
        </w:rPr>
        <w:t xml:space="preserve">图表17：充电（a）和放电（b）过程中锂离子转移示意图 </w:t>
      </w:r>
    </w:p>
    <w:p>
      <w:pPr>
        <w:sectPr>
          <w:type w:val="continuous"/>
          <w:pgSz w:w="12240" w:h="15840"/>
          <w:pgMar w:top="1440" w:right="1800" w:bottom="1440" w:left="1800" w:header="720" w:footer="720" w:gutter="0"/>
          <w:cols w:space="720" w:num="2"/>
          <w:docGrid w:linePitch="360"/>
        </w:sectPr>
      </w:pPr>
    </w:p>
    <w:p>
      <w:pPr>
        <w:jc w:val="center"/>
      </w:pPr>
      <w:r>
        <w:drawing>
          <wp:inline xmlns:a="http://schemas.openxmlformats.org/drawingml/2006/main" xmlns:pic="http://schemas.openxmlformats.org/drawingml/2006/picture">
            <wp:extent cx="4572000" cy="1023042"/>
            <wp:docPr id="1" name="Picture 1"/>
            <wp:cNvGraphicFramePr>
              <a:graphicFrameLocks noChangeAspect="1"/>
            </wp:cNvGraphicFramePr>
            <a:graphic>
              <a:graphicData uri="http://schemas.openxmlformats.org/drawingml/2006/picture">
                <pic:pic>
                  <pic:nvPicPr>
                    <pic:cNvPr id="0" name="[111, 462, 1121, 688]_0.jpg"/>
                    <pic:cNvPicPr/>
                  </pic:nvPicPr>
                  <pic:blipFill>
                    <a:blip r:embed="rId9"/>
                    <a:stretch>
                      <a:fillRect/>
                    </a:stretch>
                  </pic:blipFill>
                  <pic:spPr>
                    <a:xfrm>
                      <a:off x="0" y="0"/>
                      <a:ext cx="4572000" cy="1023042"/>
                    </a:xfrm>
                    <a:prstGeom prst="rect"/>
                  </pic:spPr>
                </pic:pic>
              </a:graphicData>
            </a:graphic>
          </wp:inline>
        </w:drawing>
      </w:r>
    </w:p>
    <w:p>
      <w:pPr>
        <w:jc w:val="center"/>
      </w:pPr>
      <w:r>
        <w:drawing>
          <wp:inline xmlns:a="http://schemas.openxmlformats.org/drawingml/2006/main" xmlns:pic="http://schemas.openxmlformats.org/drawingml/2006/picture">
            <wp:extent cx="4572000" cy="746265"/>
            <wp:docPr id="2" name="Picture 2"/>
            <wp:cNvGraphicFramePr>
              <a:graphicFrameLocks noChangeAspect="1"/>
            </wp:cNvGraphicFramePr>
            <a:graphic>
              <a:graphicData uri="http://schemas.openxmlformats.org/drawingml/2006/picture">
                <pic:pic>
                  <pic:nvPicPr>
                    <pic:cNvPr id="0" name="[109, 769, 1126, 935]_0.jpg"/>
                    <pic:cNvPicPr/>
                  </pic:nvPicPr>
                  <pic:blipFill>
                    <a:blip r:embed="rId10"/>
                    <a:stretch>
                      <a:fillRect/>
                    </a:stretch>
                  </pic:blipFill>
                  <pic:spPr>
                    <a:xfrm>
                      <a:off x="0" y="0"/>
                      <a:ext cx="4572000" cy="746265"/>
                    </a:xfrm>
                    <a:prstGeom prst="rect"/>
                  </pic:spPr>
                </pic:pic>
              </a:graphicData>
            </a:graphic>
          </wp:inline>
        </w:drawing>
      </w:r>
    </w:p>
    <w:p>
      <w:pPr>
        <w:jc w:val="center"/>
      </w:pPr>
      <w:r>
        <w:drawing>
          <wp:inline xmlns:a="http://schemas.openxmlformats.org/drawingml/2006/main" xmlns:pic="http://schemas.openxmlformats.org/drawingml/2006/picture">
            <wp:extent cx="4572000" cy="1595838"/>
            <wp:docPr id="3" name="Picture 3"/>
            <wp:cNvGraphicFramePr>
              <a:graphicFrameLocks noChangeAspect="1"/>
            </wp:cNvGraphicFramePr>
            <a:graphic>
              <a:graphicData uri="http://schemas.openxmlformats.org/drawingml/2006/picture">
                <pic:pic>
                  <pic:nvPicPr>
                    <pic:cNvPr id="0" name="[177, 953, 1068, 1264]_0.jpg"/>
                    <pic:cNvPicPr/>
                  </pic:nvPicPr>
                  <pic:blipFill>
                    <a:blip r:embed="rId11"/>
                    <a:stretch>
                      <a:fillRect/>
                    </a:stretch>
                  </pic:blipFill>
                  <pic:spPr>
                    <a:xfrm>
                      <a:off x="0" y="0"/>
                      <a:ext cx="4572000" cy="1595838"/>
                    </a:xfrm>
                    <a:prstGeom prst="rect"/>
                  </pic:spPr>
                </pic:pic>
              </a:graphicData>
            </a:graphic>
          </wp:inline>
        </w:drawing>
      </w:r>
    </w:p>
    <w:p>
      <w:pPr>
        <w:ind w:firstLine="360"/>
      </w:pPr>
      <w:r>
        <w:rPr>
          <w:sz w:val="20"/>
        </w:rPr>
        <w:t xml:space="preserve">高浓度锂盐：高浓电解液（HCE，highly concentratedelectrolyte）可提升电池倍率性能，但 </w:t>
      </w:r>
      <w:r>
        <w:rPr>
          <w:sz w:val="20"/>
        </w:rPr>
        <w:t xml:space="preserve">未缓解其普遍具有的高粘度和隔膜润湿性差等问题，局部高浓度电解液（LHCE）成为了一个 </w:t>
      </w:r>
      <w:r>
        <w:rPr>
          <w:sz w:val="20"/>
        </w:rPr>
        <w:t xml:space="preserve">关键的突破口，其在HCE基础上加入了低极性的溶剂进行“稀释”，使得LHCEs体系在保持 </w:t>
      </w:r>
      <w:r>
        <w:rPr>
          <w:sz w:val="20"/>
        </w:rPr>
        <w:t xml:space="preserve">HCEs独特溶剂化结构的基础上同时具备低粘度和良好的浸润性。但高浓度锂盐较高成本制约 </w:t>
      </w:r>
      <w:r>
        <w:rPr>
          <w:sz w:val="20"/>
        </w:rPr>
        <w:t xml:space="preserve">其商业化进程。 </w:t>
      </w:r>
    </w:p>
    <w:sectPr w:rsidR="00FC693F" w:rsidRPr="0006063C" w:rsidSect="00034616">
      <w:type w:val="continuous"/>
      <w:pgSz w:w="12240" w:h="15840"/>
      <w:pgMar w:top="1440" w:right="1800" w:bottom="1440" w:left="1800" w:header="720" w:footer="720" w:gutter="0"/>
      <w:cols w:space="720" w:num="1"/>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eastAsia="宋体"/>
      <w:sz w:val="13"/>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