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pStyle w:val="Heading1"/>
      </w:pPr>
      <w:r>
        <w:t>法律声明</w:t>
      </w:r>
    </w:p>
    <w:p>
      <w:pPr>
        <w:pStyle w:val="Heading1"/>
      </w:pPr>
      <w:r>
        <w:t>一般声明</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本报告由中国国际金融股份有限公司（已具备中国证监会批复的证券投资咨询业务资格）制作。本报告中的信息均来源于我们认为可靠的已公开资料，但中国国际金融 </w:t>
      </w:r>
      <w:r>
        <w:rPr>
          <w:sz w:val="20"/>
        </w:rPr>
        <w:t xml:space="preserve">股份有限公司及其关联机构（以下统称“中金公司”）对这些信息的准确性及完整性不作任何保证。本报告中的信息、意见等均仅供投资者参考之用，不构成对买卖任 </w:t>
      </w:r>
      <w:r>
        <w:rPr>
          <w:sz w:val="20"/>
        </w:rPr>
        <w:t xml:space="preserve">何证券或其他金融工具的出价或征价或提供任何投资决策建议的服务。该等信息、意见并未考虑到获取本报告人员的具体投资目的、财务状况以及特定需求，在任何时 </w:t>
      </w:r>
      <w:r>
        <w:rPr>
          <w:sz w:val="20"/>
        </w:rPr>
        <w:t xml:space="preserve">候均不构成对任何人的个人推荐或投资操作性建议。投资者应当对本报告中的信息和意见进行独立评估，自主审慎做出决策并自行承担风险。投资者在依据本报告涉及 </w:t>
      </w:r>
      <w:r>
        <w:rPr>
          <w:sz w:val="20"/>
        </w:rPr>
        <w:t xml:space="preserve">的内容进行任何决策前，应同时考量各自的投资目的、财务状况和特定需求，并就相关决策咨询专业顾问的意见对依据或者使用本报告所造成的一切后果，中金公司及 </w:t>
      </w:r>
      <w:r>
        <w:rPr>
          <w:sz w:val="20"/>
        </w:rPr>
        <w:t xml:space="preserve">/或其关联人员均不承担任何责任。 </w:t>
      </w:r>
    </w:p>
    <w:p>
      <w:pPr>
        <w:ind w:firstLine="360"/>
      </w:pPr>
      <w:r>
        <w:rPr>
          <w:sz w:val="20"/>
        </w:rPr>
        <w:t xml:space="preserve">本报告所载的意见、评估及预测仅为本报告出具日的观点和判断，相关证券或金融工具的价格、价值及收益亦可能会波动。该等意见、评估及预测无需通知即可随时更 </w:t>
      </w:r>
      <w:r>
        <w:rPr>
          <w:sz w:val="20"/>
        </w:rPr>
        <w:t xml:space="preserve">改。在不同时期，中金公司可能会发出与本报告所载意见、评估及预测不一致的研究报告。 </w:t>
      </w:r>
    </w:p>
    <w:p>
      <w:pPr>
        <w:ind w:firstLine="360"/>
      </w:pPr>
      <w:r>
        <w:rPr>
          <w:sz w:val="20"/>
        </w:rPr>
        <w:t xml:space="preserve">中金公司的销售人员、交易人员以及其他专业人士可能会依据不同假设和标准、采用不同的分析方法而口头或书面发表与本报告意见及建议不一致的市场评论和/或交易 </w:t>
      </w:r>
      <w:r>
        <w:rPr>
          <w:sz w:val="20"/>
        </w:rPr>
        <w:t xml:space="preserve">观点。中金公司没有将此意见及建议向报告所有接收者进行更新的义务。中金公司的资产管理部门、自营部门以及其他投资业务部门可能独立做出与本报告中的意见不 </w:t>
      </w:r>
      <w:r>
        <w:rPr>
          <w:sz w:val="20"/>
        </w:rPr>
        <w:t xml:space="preserve">一致的投资决策。 </w:t>
      </w:r>
    </w:p>
    <w:p>
      <w:pPr>
        <w:ind w:firstLine="360"/>
      </w:pPr>
      <w:r>
        <w:rPr>
          <w:sz w:val="20"/>
        </w:rPr>
        <w:t xml:space="preserve">本报告提供给某接收人是基于该接收人被认为有能力独立评估投资风险并就投资决策能行使独立判断。投资的独立判断是指，投资决策是投资者自身基于对潜在投资的 </w:t>
      </w:r>
      <w:r>
        <w:rPr>
          <w:sz w:val="20"/>
        </w:rPr>
        <w:t xml:space="preserve">目标、需求、机会、风险、市场因素及其他投资考虑而独立做出的。 </w:t>
      </w:r>
    </w:p>
    <w:p>
      <w:pPr>
        <w:ind w:firstLine="360"/>
      </w:pPr>
      <w:r>
        <w:rPr>
          <w:sz w:val="20"/>
        </w:rPr>
        <w:t xml:space="preserve">本报告由受香港证券及期货事务监察委员会监管的中国国际金融香港证券有限公司（“中金香港”）于香港提供。香港的投资者若有任何关于中金公司研究报告的问题请 </w:t>
      </w:r>
      <w:r>
        <w:rPr>
          <w:sz w:val="20"/>
        </w:rPr>
        <w:t xml:space="preserve">直接联系中金香港的销售交易代表。本报告作者所持香港证监会牌照的牌照编号已披露在报告首页的作者姓名旁。 </w:t>
      </w:r>
    </w:p>
    <w:p>
      <w:pPr>
        <w:ind w:firstLine="360"/>
      </w:pPr>
      <w:r>
        <w:rPr>
          <w:sz w:val="20"/>
        </w:rPr>
        <w:t xml:space="preserve">本报告由受新加坡金融管理局监管的中国国际金融（新加坡）有限公司（“中金新加坡”）于新加坡向符合新加坡《证券期货法》定义下的合格投资者及/或机构投资者 </w:t>
      </w:r>
      <w:r>
        <w:rPr>
          <w:sz w:val="20"/>
        </w:rPr>
        <w:t xml:space="preserve">提供。本报告无意也不应直接或间接地分发或传递给新加坡的任何其他人。提供本报告于合格投资者及/或机构投资者，有关财务顾问将无需根据新加坡之《财务顾问法》 </w:t>
      </w:r>
      <w:r>
        <w:rPr>
          <w:sz w:val="20"/>
        </w:rPr>
        <w:t xml:space="preserve">第45条就任何利益及/或其代表就任何证券利益进行披露。有关本报告之任何查询，在新加坡获得本报告的人员可联系中金新加坡持牌代表。 </w:t>
      </w:r>
    </w:p>
    <w:p>
      <w:pPr>
        <w:ind w:firstLine="360"/>
      </w:pPr>
      <w:r>
        <w:rPr>
          <w:sz w:val="20"/>
        </w:rPr>
        <w:t xml:space="preserve">本报告由受金融行为监管局监管的中国国际金融（英国）有限公司（“中金英国”）于英国提供。本报告有关的投资和服务仅向符合《2000年金融服务和市场法2005年 </w:t>
      </w:r>
      <w:r>
        <w:rPr>
          <w:sz w:val="20"/>
        </w:rPr>
        <w:t xml:space="preserve">（金融推介）令》第19（5）条、38条、47条以及49条规定的人士提供。本报告并未打算提供给零售客户使用。在其他欧洲经济区国家，本报告向被其本国认定为专 </w:t>
      </w:r>
      <w:r>
        <w:rPr>
          <w:sz w:val="20"/>
        </w:rPr>
        <w:t xml:space="preserve">业投资者（或相当性质）的人士提供。 </w:t>
      </w:r>
    </w:p>
    <w:p>
      <w:pPr>
        <w:ind w:firstLine="360"/>
      </w:pPr>
      <w:r>
        <w:rPr>
          <w:sz w:val="20"/>
        </w:rPr>
        <w:t xml:space="preserve">本报告亦由中国国际金融股份有限公司向符合日本《金融商品交易法施行令》第17条第3款第1项及《金融商品交易法》第58条第2款但书前段所规定的日本金融 </w:t>
      </w:r>
      <w:r>
        <w:rPr>
          <w:sz w:val="20"/>
        </w:rPr>
        <w:t xml:space="preserve">机构提供。在该情形下，本报告有关的投资产品和服务仅向日本受监管的金融机构提供。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本报告将依据其他国家或地区的法律法规和监管要求于该国家或地区提供。 </w:t>
      </w:r>
    </w:p>
    <w:sectPr w:rsidR="00FC693F" w:rsidRPr="0006063C" w:rsidSect="00034616">
      <w:type w:val="continuous"/>
      <w:pgSz w:w="12240" w:h="15840"/>
      <w:pgMar w:top="1440" w:right="1800" w:bottom="1440" w:left="180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