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中信证券 </w:t>
      </w:r>
      <w:r>
        <w:rPr>
          <w:sz w:val="20"/>
        </w:rPr>
        <w:t xml:space="preserve">CITICSECURITIES </w:t>
      </w:r>
    </w:p>
    <w:p>
      <w:pPr>
        <w:ind w:firstLine="360"/>
      </w:pPr>
      <w:r>
        <w:rPr>
          <w:sz w:val="20"/>
        </w:rPr>
        <w:t xml:space="preserve">中信证券研究部 </w:t>
      </w:r>
    </w:p>
    <w:p>
      <w:pPr>
        <w:ind w:firstLine="360"/>
      </w:pPr>
      <w:r>
        <w:rPr>
          <w:sz w:val="20"/>
        </w:rPr>
        <w:t xml:space="preserve">宁德时代（300750）重大事项点评2020.12.30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核心观点 </w:t>
      </w:r>
    </w:p>
    <w:p>
      <w:pPr>
        <w:sectPr>
          <w:type w:val="continuous"/>
          <w:pgSz w:w="12240" w:h="15840"/>
          <w:pgMar w:top="1440" w:right="1800" w:bottom="1440" w:left="1800" w:header="720" w:footer="720" w:gutter="0"/>
          <w:cols w:space="720" w:num="1"/>
          <w:docGrid w:linePitch="360"/>
        </w:sectPr>
      </w:pPr>
    </w:p>
    <w:p>
      <w:pPr>
        <w:jc w:val="center"/>
      </w:pPr>
      <w:r>
        <w:drawing>
          <wp:inline xmlns:a="http://schemas.openxmlformats.org/drawingml/2006/main" xmlns:pic="http://schemas.openxmlformats.org/drawingml/2006/picture">
            <wp:extent cx="1828800" cy="1076446"/>
            <wp:docPr id="1" name="Picture 1"/>
            <wp:cNvGraphicFramePr>
              <a:graphicFrameLocks noChangeAspect="1"/>
            </wp:cNvGraphicFramePr>
            <a:graphic>
              <a:graphicData uri="http://schemas.openxmlformats.org/drawingml/2006/picture">
                <pic:pic>
                  <pic:nvPicPr>
                    <pic:cNvPr id="0" name="[181, 460, 339, 553]_0.jpg"/>
                    <pic:cNvPicPr/>
                  </pic:nvPicPr>
                  <pic:blipFill>
                    <a:blip r:embed="rId9"/>
                    <a:stretch>
                      <a:fillRect/>
                    </a:stretch>
                  </pic:blipFill>
                  <pic:spPr>
                    <a:xfrm>
                      <a:off x="0" y="0"/>
                      <a:ext cx="1828800" cy="1076446"/>
                    </a:xfrm>
                    <a:prstGeom prst="rect"/>
                  </pic:spPr>
                </pic:pic>
              </a:graphicData>
            </a:graphic>
          </wp:inline>
        </w:drawing>
      </w:r>
    </w:p>
    <w:p>
      <w:pPr>
        <w:ind w:firstLine="360"/>
      </w:pPr>
      <w:r>
        <w:rPr>
          <w:sz w:val="20"/>
        </w:rPr>
        <w:t xml:space="preserve">董雨肿 </w:t>
      </w:r>
      <w:r>
        <w:rPr>
          <w:sz w:val="20"/>
        </w:rPr>
        <w:t xml:space="preserve">新能源汽车分析师 </w:t>
      </w:r>
      <w:r>
        <w:rPr>
          <w:sz w:val="20"/>
        </w:rPr>
        <w:t xml:space="preserve">S1010520120006 </w:t>
      </w:r>
    </w:p>
    <w:p>
      <w:pPr>
        <w:ind w:firstLine="360"/>
      </w:pPr>
      <w:r>
        <w:rPr>
          <w:sz w:val="20"/>
        </w:rPr>
        <w:t xml:space="preserve">宁德时代 </w:t>
      </w:r>
      <w:r>
        <w:rPr>
          <w:sz w:val="20"/>
        </w:rPr>
        <w:t xml:space="preserve">300750 </w:t>
      </w:r>
      <w:r>
        <w:rPr>
          <w:sz w:val="20"/>
        </w:rPr>
        <w:t xml:space="preserve">评级 </w:t>
      </w:r>
      <w:r>
        <w:rPr>
          <w:sz w:val="20"/>
        </w:rPr>
        <w:t xml:space="preserve">买入 (维持) </w:t>
      </w:r>
      <w:r>
        <w:rPr>
          <w:sz w:val="20"/>
        </w:rPr>
        <w:t xml:space="preserve">当前价 </w:t>
      </w:r>
      <w:r>
        <w:rPr>
          <w:sz w:val="20"/>
        </w:rPr>
        <w:t xml:space="preserve">308.00元 </w:t>
      </w:r>
      <w:r>
        <w:rPr>
          <w:sz w:val="20"/>
        </w:rPr>
        <w:t xml:space="preserve">总股本 </w:t>
      </w:r>
      <w:r>
        <w:rPr>
          <w:sz w:val="20"/>
        </w:rPr>
        <w:t xml:space="preserve">2,329百万股 </w:t>
      </w:r>
      <w:r>
        <w:rPr>
          <w:sz w:val="20"/>
        </w:rPr>
        <w:t xml:space="preserve">流通股本 </w:t>
      </w:r>
      <w:r>
        <w:rPr>
          <w:sz w:val="20"/>
        </w:rPr>
        <w:t xml:space="preserve">1,235百万股 </w:t>
      </w:r>
      <w:r>
        <w:rPr>
          <w:sz w:val="20"/>
        </w:rPr>
        <w:t xml:space="preserve">52周最高/最低价 </w:t>
      </w:r>
      <w:r>
        <w:rPr>
          <w:sz w:val="20"/>
        </w:rPr>
        <w:t xml:space="preserve">316.78/106.4 </w:t>
      </w:r>
      <w:r>
        <w:rPr>
          <w:sz w:val="20"/>
        </w:rPr>
        <w:t xml:space="preserve">元 </w:t>
      </w:r>
      <w:r>
        <w:rPr>
          <w:sz w:val="20"/>
        </w:rPr>
        <w:t xml:space="preserve">近12月绝对涨幅 </w:t>
      </w:r>
      <w:r>
        <w:rPr>
          <w:sz w:val="20"/>
        </w:rPr>
        <w:t xml:space="preserve">40.33% </w:t>
      </w:r>
    </w:p>
    <w:p>
      <w:pPr>
        <w:ind w:firstLine="360"/>
      </w:pPr>
      <w:r>
        <w:rPr>
          <w:sz w:val="20"/>
        </w:rPr>
        <w:t xml:space="preserve">证券研究报告 </w:t>
      </w:r>
    </w:p>
    <w:p>
      <w:pPr>
        <w:ind w:firstLine="360"/>
      </w:pPr>
      <w:r>
        <w:rPr>
          <w:sz w:val="20"/>
        </w:rPr>
        <w:t xml:space="preserve">公司公告拟投资不超过390亿元在四川宜宾、福建宁德、江苏溧阳三地投建新 </w:t>
      </w:r>
      <w:r>
        <w:rPr>
          <w:sz w:val="20"/>
        </w:rPr>
        <w:t xml:space="preserve">产能，我们预计将在未来4-5年内带来约90GWh增量，进一步保障长期增长。 </w:t>
      </w:r>
      <w:r>
        <w:rPr>
          <w:sz w:val="20"/>
        </w:rPr>
        <w:t xml:space="preserve">公司是全球动力电池龙头，深度绑定国内主流电动车企，加速全球配套打开市 </w:t>
      </w:r>
      <w:r>
        <w:rPr>
          <w:sz w:val="20"/>
        </w:rPr>
        <w:t xml:space="preserve">场空间，成长确定性高，维持“买入”评级，继续推荐。 </w:t>
      </w:r>
    </w:p>
    <w:p>
      <w:pPr>
        <w:ind w:firstLine="360"/>
      </w:pPr>
      <w:r>
        <w:rPr>
          <w:sz w:val="20"/>
        </w:rPr>
        <w:t xml:space="preserve">■事项：公司12月29日晚间发布建设新产能公告。对此，我们点评如下： </w:t>
      </w:r>
      <w:r>
        <w:rPr>
          <w:sz w:val="20"/>
        </w:rPr>
        <w:t xml:space="preserve">■拟投390亿元建设锂电池产能，保障长期增长。公司12月29日发布3项投资 </w:t>
      </w:r>
      <w:r>
        <w:rPr>
          <w:sz w:val="20"/>
        </w:rPr>
        <w:t xml:space="preserve">建设新产能公告，拟投资不超过100亿元扩建四川宜宾动力电池制造基地，拟 </w:t>
      </w:r>
      <w:r>
        <w:rPr>
          <w:sz w:val="20"/>
        </w:rPr>
        <w:t xml:space="preserve">投资不超过170亿元在福建宁德福鼎市建设动力电池生产基地，拟投资不超过 </w:t>
      </w:r>
      <w:r>
        <w:rPr>
          <w:sz w:val="20"/>
        </w:rPr>
        <w:t xml:space="preserve">120亿元在江苏溧阳建设江苏时代动力及储能锂电池研发与生产项目（四期） </w:t>
      </w:r>
      <w:r>
        <w:rPr>
          <w:sz w:val="20"/>
        </w:rPr>
        <w:t xml:space="preserve">三个项目总投资不超过390亿元，资金来源均为企业自筹。本次大规模新产能 </w:t>
      </w:r>
      <w:r>
        <w:rPr>
          <w:sz w:val="20"/>
        </w:rPr>
        <w:t xml:space="preserve">建设符合新能源汽车四季度以来高景气趋势，是公司长期增长的保障。本次建 </w:t>
      </w:r>
      <w:r>
        <w:rPr>
          <w:sz w:val="20"/>
        </w:rPr>
        <w:t xml:space="preserve">设预计在未来4-5年内逐步落地，我们预计带来约90GWh新增产能，相应我们 </w:t>
      </w:r>
      <w:r>
        <w:rPr>
          <w:sz w:val="20"/>
        </w:rPr>
        <w:t xml:space="preserve">预计公司2020/2021/2022年底产能将分别达约90/150/230GWh（不含合资部 </w:t>
      </w:r>
      <w:r>
        <w:rPr>
          <w:sz w:val="20"/>
        </w:rPr>
        <w:t xml:space="preserve">分），进一步加大产能护城河。 </w:t>
      </w:r>
    </w:p>
    <w:p>
      <w:pPr>
        <w:ind w:firstLine="360"/>
      </w:pPr>
      <w:r>
        <w:rPr>
          <w:sz w:val="20"/>
        </w:rPr>
        <w:t xml:space="preserve">■公司行业地位稳固，资本运作持续赋能。公司是全球动力电池龙头，进入了全 </w:t>
      </w:r>
      <w:r>
        <w:rPr>
          <w:sz w:val="20"/>
        </w:rPr>
        <w:t xml:space="preserve">球大部分主流车企配套，在国内市场份额保持50%以上份额，对海外客户配套 </w:t>
      </w:r>
      <w:r>
        <w:rPr>
          <w:sz w:val="20"/>
        </w:rPr>
        <w:t xml:space="preserve">2020年起爆发增长；同时，公司前瞻性布局了储能电池、光伏等领域。公司当 </w:t>
      </w:r>
      <w:r>
        <w:rPr>
          <w:sz w:val="20"/>
        </w:rPr>
        <w:t xml:space="preserve">前市场地位稳固，长期成长空间巨大。自2018年上市以来，公司先后完成了 </w:t>
      </w:r>
      <w:r>
        <w:rPr>
          <w:sz w:val="20"/>
        </w:rPr>
        <w:t xml:space="preserve">55亿元IPO、197亿元定增，并两次合计发行45亿元公司债。顺利融资对公司 </w:t>
      </w:r>
      <w:r>
        <w:rPr>
          <w:sz w:val="20"/>
        </w:rPr>
        <w:t xml:space="preserve">研发、产能建设提供了充足资金保障，同时投融资也强化了公司对产业链上游 </w:t>
      </w:r>
      <w:r>
        <w:rPr>
          <w:sz w:val="20"/>
        </w:rPr>
        <w:t xml:space="preserve">资源及下游客户的绑定关系，增强了产业协同。公司先后实施了三次股权激励， </w:t>
      </w:r>
      <w:r>
        <w:rPr>
          <w:sz w:val="20"/>
        </w:rPr>
        <w:t xml:space="preserve">推动改善公司治理并保护人才团队 </w:t>
      </w:r>
      <w:r>
        <w:rPr>
          <w:sz w:val="20"/>
        </w:rPr>
        <w:t xml:space="preserve">■竞争格局更加清晰，公司护城河继续加强。公司国内客户包括上汽、吉利、宇 </w:t>
      </w:r>
      <w:r>
        <w:rPr>
          <w:sz w:val="20"/>
        </w:rPr>
        <w:t xml:space="preserve">通、北汽、广汽等传统车企，以及蔚来、威马、小鹏等造车新势力。海外客户 </w:t>
      </w:r>
      <w:r>
        <w:rPr>
          <w:sz w:val="20"/>
        </w:rPr>
        <w:t xml:space="preserve">包括特斯拉、宝马、大众、戴姆勒、现代、捷豹路虎、标致雪铁龙、沃尔沃、 </w:t>
      </w:r>
      <w:r>
        <w:rPr>
          <w:sz w:val="20"/>
        </w:rPr>
        <w:t xml:space="preserve">本田等全球龙头。公司动力电池充分受益全球电动车需求强劲增长，募投产能 </w:t>
      </w:r>
      <w:r>
        <w:rPr>
          <w:sz w:val="20"/>
        </w:rPr>
        <w:t xml:space="preserve">建成未来配套能力，将为稳固行业领先地位提供有力保障。根据GGII数据， </w:t>
      </w:r>
      <w:r>
        <w:rPr>
          <w:sz w:val="20"/>
        </w:rPr>
        <w:t xml:space="preserve">2018/2019/2020H1公司国内装机份额分别为41%/52%/51%，持续稳步提升。 </w:t>
      </w:r>
      <w:r>
        <w:rPr>
          <w:sz w:val="20"/>
        </w:rPr>
        <w:t xml:space="preserve">全球看，据SNEResearchg数据，2018/2019/2020年1-8月公司全球份额 </w:t>
      </w:r>
      <w:r>
        <w:rPr>
          <w:sz w:val="20"/>
        </w:rPr>
        <w:t xml:space="preserve">23%/28%/24%，稳居全球前两位。我们预计公司2020年锂电池出口超7GWh， </w:t>
      </w:r>
      <w:r>
        <w:rPr>
          <w:sz w:val="20"/>
        </w:rPr>
        <w:t xml:space="preserve">海外持续拓展进一步带动全球份额提升。 </w:t>
      </w:r>
      <w:r>
        <w:rPr>
          <w:sz w:val="20"/>
        </w:rPr>
        <w:t xml:space="preserve">5 </w:t>
      </w:r>
      <w:r>
        <w:rPr>
          <w:sz w:val="20"/>
        </w:rPr>
        <w:t xml:space="preserve">■风险因素：下游新能源汽车销量不达预期；动力电池价格下行超预期；原材料 </w:t>
      </w:r>
      <w:r>
        <w:rPr>
          <w:sz w:val="20"/>
        </w:rPr>
        <w:t xml:space="preserve">价格波动；技术路线变革等。 </w:t>
      </w:r>
    </w:p>
    <w:p>
      <w:pPr>
        <w:ind w:firstLine="360"/>
      </w:pPr>
      <w:r>
        <w:rPr>
          <w:sz w:val="20"/>
        </w:rPr>
        <w:t xml:space="preserve">请务必阅读正文之后的免责条款 </w:t>
      </w:r>
    </w:p>
    <w:p>
      <w:pPr>
        <w:ind w:firstLine="360"/>
      </w:pPr>
      <w:r>
        <w:rPr>
          <w:sz w:val="20"/>
        </w:rPr>
        <w:t xml:space="preserve">中信证券 </w:t>
      </w:r>
      <w:r>
        <w:rPr>
          <w:sz w:val="20"/>
        </w:rPr>
        <w:t xml:space="preserve">CITICSECURITIES </w:t>
      </w:r>
    </w:p>
    <w:p>
      <w:pPr>
        <w:ind w:firstLine="360"/>
      </w:pPr>
      <w:r>
        <w:rPr>
          <w:sz w:val="20"/>
        </w:rPr>
        <w:t xml:space="preserve">请务必阅读正文之后的免责条款 </w:t>
      </w:r>
    </w:p>
    <w:p>
      <w:pPr>
        <w:ind w:firstLine="360"/>
      </w:pPr>
      <w:r>
        <w:rPr>
          <w:sz w:val="20"/>
        </w:rPr>
        <w:t xml:space="preserve">宁德时代（300750）重大事项点评丨2020.12.30 </w:t>
      </w:r>
    </w:p>
    <w:p>
      <w:pPr>
        <w:ind w:firstLine="360"/>
      </w:pPr>
      <w:r>
        <w:rPr>
          <w:sz w:val="20"/>
        </w:rPr>
        <w:t xml:space="preserve">■投资建议：维持公司2020/21/22年归母净利润预测54亿/70亿/88亿元，当前价308.0 </w:t>
      </w:r>
      <w:r>
        <w:rPr>
          <w:sz w:val="20"/>
        </w:rPr>
        <w:t xml:space="preserve">元，对应2020/21/22年PE分别为127/97/77倍。国内外电动化长期趋势明显，海外景 </w:t>
      </w:r>
      <w:r>
        <w:rPr>
          <w:sz w:val="20"/>
        </w:rPr>
        <w:t xml:space="preserve">气度向上提速，高端动力电池持续紧缺。作为全球动力电池龙头公司，深度绑定国内主 </w:t>
      </w:r>
      <w:r>
        <w:rPr>
          <w:sz w:val="20"/>
        </w:rPr>
        <w:t xml:space="preserve">流电动车企；同时对海外特斯拉等巨头客户配套全面深入。公司成长确定性高，具备长 </w:t>
      </w:r>
      <w:r>
        <w:rPr>
          <w:sz w:val="20"/>
        </w:rPr>
        <w:t xml:space="preserve">期配置价值，继续推荐，维持“买入”评级。 </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项目/年度</w:t>
            </w:r>
          </w:p>
        </w:tc>
        <w:tc>
          <w:tcPr>
            <w:tcW w:type="dxa" w:w="1234"/>
          </w:tcPr>
          <w:p>
            <w:r>
              <w:t xml:space="preserve"> </w:t>
            </w:r>
          </w:p>
        </w:tc>
        <w:tc>
          <w:tcPr>
            <w:tcW w:type="dxa" w:w="1234"/>
          </w:tcPr>
          <w:p>
            <w:r>
              <w:t>2018</w:t>
            </w:r>
          </w:p>
        </w:tc>
        <w:tc>
          <w:tcPr>
            <w:tcW w:type="dxa" w:w="1234"/>
          </w:tcPr>
          <w:p>
            <w:r>
              <w:t>2019</w:t>
            </w:r>
          </w:p>
        </w:tc>
        <w:tc>
          <w:tcPr>
            <w:tcW w:type="dxa" w:w="1234"/>
          </w:tcPr>
          <w:p>
            <w:r>
              <w:t>2020E</w:t>
            </w:r>
          </w:p>
        </w:tc>
        <w:tc>
          <w:tcPr>
            <w:tcW w:type="dxa" w:w="1234"/>
          </w:tcPr>
          <w:p>
            <w:r>
              <w:t>2021E</w:t>
            </w:r>
          </w:p>
        </w:tc>
        <w:tc>
          <w:tcPr>
            <w:tcW w:type="dxa" w:w="1234"/>
          </w:tcPr>
          <w:p>
            <w:r>
              <w:t>2022E</w:t>
            </w:r>
          </w:p>
        </w:tc>
      </w:tr>
      <w:tr>
        <w:tc>
          <w:tcPr>
            <w:tcW w:type="dxa" w:w="1234"/>
          </w:tcPr>
          <w:p>
            <w:r>
              <w:t>营业收入(亿元)</w:t>
            </w:r>
          </w:p>
        </w:tc>
        <w:tc>
          <w:tcPr>
            <w:tcW w:type="dxa" w:w="1234"/>
          </w:tcPr>
          <w:p>
            <w:r>
              <w:t>Tro</w:t>
            </w:r>
          </w:p>
        </w:tc>
        <w:tc>
          <w:tcPr>
            <w:tcW w:type="dxa" w:w="1234"/>
          </w:tcPr>
          <w:p>
            <w:r>
              <w:t>296</w:t>
            </w:r>
          </w:p>
        </w:tc>
        <w:tc>
          <w:tcPr>
            <w:tcW w:type="dxa" w:w="1234"/>
          </w:tcPr>
          <w:p>
            <w:r>
              <w:t>458</w:t>
            </w:r>
          </w:p>
        </w:tc>
        <w:tc>
          <w:tcPr>
            <w:tcW w:type="dxa" w:w="1234"/>
          </w:tcPr>
          <w:p>
            <w:r>
              <w:t>485</w:t>
            </w:r>
          </w:p>
        </w:tc>
        <w:tc>
          <w:tcPr>
            <w:tcW w:type="dxa" w:w="1234"/>
          </w:tcPr>
          <w:p>
            <w:r>
              <w:t>666</w:t>
            </w:r>
          </w:p>
        </w:tc>
        <w:tc>
          <w:tcPr>
            <w:tcW w:type="dxa" w:w="1234"/>
          </w:tcPr>
          <w:p>
            <w:r>
              <w:t>827</w:t>
            </w:r>
          </w:p>
        </w:tc>
      </w:tr>
      <w:tr>
        <w:tc>
          <w:tcPr>
            <w:tcW w:type="dxa" w:w="1234"/>
          </w:tcPr>
          <w:p>
            <w:r>
              <w:t>营业收入增长率</w:t>
            </w:r>
          </w:p>
        </w:tc>
        <w:tc>
          <w:tcPr>
            <w:tcW w:type="dxa" w:w="1234"/>
          </w:tcPr>
          <w:p>
            <w:r>
              <w:t xml:space="preserve"> </w:t>
            </w:r>
          </w:p>
        </w:tc>
        <w:tc>
          <w:tcPr>
            <w:tcW w:type="dxa" w:w="1234"/>
          </w:tcPr>
          <w:p>
            <w:r>
              <w:t>48%</w:t>
            </w:r>
          </w:p>
        </w:tc>
        <w:tc>
          <w:tcPr>
            <w:tcW w:type="dxa" w:w="1234"/>
          </w:tcPr>
          <w:p>
            <w:r>
              <w:t>55%</w:t>
            </w:r>
          </w:p>
        </w:tc>
        <w:tc>
          <w:tcPr>
            <w:tcW w:type="dxa" w:w="1234"/>
          </w:tcPr>
          <w:p>
            <w:r>
              <w:t>6%</w:t>
            </w:r>
          </w:p>
        </w:tc>
        <w:tc>
          <w:tcPr>
            <w:tcW w:type="dxa" w:w="1234"/>
          </w:tcPr>
          <w:p>
            <w:r>
              <w:t>37%</w:t>
            </w:r>
          </w:p>
        </w:tc>
        <w:tc>
          <w:tcPr>
            <w:tcW w:type="dxa" w:w="1234"/>
          </w:tcPr>
          <w:p>
            <w:r>
              <w:t>24%</w:t>
            </w:r>
          </w:p>
        </w:tc>
      </w:tr>
      <w:tr>
        <w:tc>
          <w:tcPr>
            <w:tcW w:type="dxa" w:w="1234"/>
          </w:tcPr>
          <w:p>
            <w:r>
              <w:t>净利润(亿元)</w:t>
            </w:r>
          </w:p>
        </w:tc>
        <w:tc>
          <w:tcPr>
            <w:tcW w:type="dxa" w:w="1234"/>
          </w:tcPr>
          <w:p>
            <w:r>
              <w:t xml:space="preserve"> </w:t>
            </w:r>
          </w:p>
        </w:tc>
        <w:tc>
          <w:tcPr>
            <w:tcW w:type="dxa" w:w="1234"/>
          </w:tcPr>
          <w:p>
            <w:r>
              <w:t>33.9</w:t>
            </w:r>
          </w:p>
        </w:tc>
        <w:tc>
          <w:tcPr>
            <w:tcW w:type="dxa" w:w="1234"/>
          </w:tcPr>
          <w:p>
            <w:r>
              <w:t>45.6</w:t>
            </w:r>
          </w:p>
        </w:tc>
        <w:tc>
          <w:tcPr>
            <w:tcW w:type="dxa" w:w="1234"/>
          </w:tcPr>
          <w:p>
            <w:r>
              <w:t>54.0</w:t>
            </w:r>
          </w:p>
        </w:tc>
        <w:tc>
          <w:tcPr>
            <w:tcW w:type="dxa" w:w="1234"/>
          </w:tcPr>
          <w:p>
            <w:r>
              <w:t>70.0</w:t>
            </w:r>
          </w:p>
        </w:tc>
        <w:tc>
          <w:tcPr>
            <w:tcW w:type="dxa" w:w="1234"/>
          </w:tcPr>
          <w:p>
            <w:r>
              <w:t>88.0</w:t>
            </w:r>
          </w:p>
        </w:tc>
      </w:tr>
      <w:tr>
        <w:tc>
          <w:tcPr>
            <w:tcW w:type="dxa" w:w="1234"/>
          </w:tcPr>
          <w:p>
            <w:r>
              <w:t>净利润增长率</w:t>
            </w:r>
          </w:p>
        </w:tc>
        <w:tc>
          <w:tcPr>
            <w:tcW w:type="dxa" w:w="1234"/>
          </w:tcPr>
          <w:p>
            <w:r>
              <w:t xml:space="preserve"> </w:t>
            </w:r>
          </w:p>
        </w:tc>
        <w:tc>
          <w:tcPr>
            <w:tcW w:type="dxa" w:w="1234"/>
          </w:tcPr>
          <w:p>
            <w:r>
              <w:t>-13%</w:t>
            </w:r>
          </w:p>
        </w:tc>
        <w:tc>
          <w:tcPr>
            <w:tcW w:type="dxa" w:w="1234"/>
          </w:tcPr>
          <w:p>
            <w:r>
              <w:t>35%</w:t>
            </w:r>
          </w:p>
        </w:tc>
        <w:tc>
          <w:tcPr>
            <w:tcW w:type="dxa" w:w="1234"/>
          </w:tcPr>
          <w:p>
            <w:r>
              <w:t>18%</w:t>
            </w:r>
          </w:p>
        </w:tc>
        <w:tc>
          <w:tcPr>
            <w:tcW w:type="dxa" w:w="1234"/>
          </w:tcPr>
          <w:p>
            <w:r>
              <w:t>30%</w:t>
            </w:r>
          </w:p>
        </w:tc>
        <w:tc>
          <w:tcPr>
            <w:tcW w:type="dxa" w:w="1234"/>
          </w:tcPr>
          <w:p>
            <w:r>
              <w:t>26%</w:t>
            </w:r>
          </w:p>
        </w:tc>
      </w:tr>
      <w:tr>
        <w:tc>
          <w:tcPr>
            <w:tcW w:type="dxa" w:w="1234"/>
          </w:tcPr>
          <w:p>
            <w:r>
              <w:t>每股收益EPS(基本)(元)</w:t>
            </w:r>
          </w:p>
        </w:tc>
        <w:tc>
          <w:tcPr>
            <w:tcW w:type="dxa" w:w="1234"/>
          </w:tcPr>
          <w:p>
            <w:r>
              <w:t xml:space="preserve"> </w:t>
            </w:r>
          </w:p>
        </w:tc>
        <w:tc>
          <w:tcPr>
            <w:tcW w:type="dxa" w:w="1234"/>
          </w:tcPr>
          <w:p>
            <w:r>
              <w:t>1.53</w:t>
            </w:r>
          </w:p>
        </w:tc>
        <w:tc>
          <w:tcPr>
            <w:tcW w:type="dxa" w:w="1234"/>
          </w:tcPr>
          <w:p>
            <w:r>
              <w:t>2.06</w:t>
            </w:r>
          </w:p>
        </w:tc>
        <w:tc>
          <w:tcPr>
            <w:tcW w:type="dxa" w:w="1234"/>
          </w:tcPr>
          <w:p>
            <w:r>
              <w:t>2.45</w:t>
            </w:r>
          </w:p>
        </w:tc>
        <w:tc>
          <w:tcPr>
            <w:tcW w:type="dxa" w:w="1234"/>
          </w:tcPr>
          <w:p>
            <w:r>
              <w:t>3.17</w:t>
            </w:r>
          </w:p>
        </w:tc>
        <w:tc>
          <w:tcPr>
            <w:tcW w:type="dxa" w:w="1234"/>
          </w:tcPr>
          <w:p>
            <w:r>
              <w:t>3.99</w:t>
            </w:r>
          </w:p>
        </w:tc>
      </w:tr>
      <w:tr>
        <w:tc>
          <w:tcPr>
            <w:tcW w:type="dxa" w:w="1234"/>
          </w:tcPr>
          <w:p>
            <w:r>
              <w:t>毛利率%</w:t>
            </w:r>
          </w:p>
        </w:tc>
        <w:tc>
          <w:tcPr>
            <w:tcW w:type="dxa" w:w="1234"/>
          </w:tcPr>
          <w:p>
            <w:r>
              <w:t>C</w:t>
            </w:r>
          </w:p>
        </w:tc>
        <w:tc>
          <w:tcPr>
            <w:tcW w:type="dxa" w:w="1234"/>
          </w:tcPr>
          <w:p>
            <w:r>
              <w:t>32.8%</w:t>
            </w:r>
          </w:p>
        </w:tc>
        <w:tc>
          <w:tcPr>
            <w:tcW w:type="dxa" w:w="1234"/>
          </w:tcPr>
          <w:p>
            <w:r>
              <w:t>29.1%</w:t>
            </w:r>
          </w:p>
        </w:tc>
        <w:tc>
          <w:tcPr>
            <w:tcW w:type="dxa" w:w="1234"/>
          </w:tcPr>
          <w:p>
            <w:r>
              <w:t>28.8%</w:t>
            </w:r>
          </w:p>
        </w:tc>
        <w:tc>
          <w:tcPr>
            <w:tcW w:type="dxa" w:w="1234"/>
          </w:tcPr>
          <w:p>
            <w:r>
              <w:t>28.1%</w:t>
            </w:r>
          </w:p>
        </w:tc>
        <w:tc>
          <w:tcPr>
            <w:tcW w:type="dxa" w:w="1234"/>
          </w:tcPr>
          <w:p>
            <w:r>
              <w:t>27.6%</w:t>
            </w:r>
          </w:p>
        </w:tc>
      </w:tr>
      <w:tr>
        <w:tc>
          <w:tcPr>
            <w:tcW w:type="dxa" w:w="1234"/>
          </w:tcPr>
          <w:p>
            <w:r>
              <w:t>净资产收益率ROE%</w:t>
            </w:r>
          </w:p>
        </w:tc>
        <w:tc>
          <w:tcPr>
            <w:tcW w:type="dxa" w:w="1234"/>
          </w:tcPr>
          <w:p>
            <w:r>
              <w:t xml:space="preserve"> </w:t>
            </w:r>
          </w:p>
        </w:tc>
        <w:tc>
          <w:tcPr>
            <w:tcW w:type="dxa" w:w="1234"/>
          </w:tcPr>
          <w:p>
            <w:r>
              <w:t>10.3%</w:t>
            </w:r>
          </w:p>
        </w:tc>
        <w:tc>
          <w:tcPr>
            <w:tcW w:type="dxa" w:w="1234"/>
          </w:tcPr>
          <w:p>
            <w:r>
              <w:t>12.0%</w:t>
            </w:r>
          </w:p>
        </w:tc>
        <w:tc>
          <w:tcPr>
            <w:tcW w:type="dxa" w:w="1234"/>
          </w:tcPr>
          <w:p>
            <w:r>
              <w:t>8.6%</w:t>
            </w:r>
          </w:p>
        </w:tc>
        <w:tc>
          <w:tcPr>
            <w:tcW w:type="dxa" w:w="1234"/>
          </w:tcPr>
          <w:p>
            <w:r>
              <w:t>10.1%</w:t>
            </w:r>
          </w:p>
        </w:tc>
        <w:tc>
          <w:tcPr>
            <w:tcW w:type="dxa" w:w="1234"/>
          </w:tcPr>
          <w:p>
            <w:r>
              <w:t>11.4%</w:t>
            </w:r>
          </w:p>
        </w:tc>
      </w:tr>
      <w:tr>
        <w:tc>
          <w:tcPr>
            <w:tcW w:type="dxa" w:w="1234"/>
          </w:tcPr>
          <w:p>
            <w:r>
              <w:t>每股净资产（元）</w:t>
            </w:r>
          </w:p>
        </w:tc>
        <w:tc>
          <w:tcPr>
            <w:tcW w:type="dxa" w:w="1234"/>
          </w:tcPr>
          <w:p>
            <w:r>
              <w:t xml:space="preserve"> </w:t>
            </w:r>
          </w:p>
        </w:tc>
        <w:tc>
          <w:tcPr>
            <w:tcW w:type="dxa" w:w="1234"/>
          </w:tcPr>
          <w:p>
            <w:r>
              <w:t>14.92</w:t>
            </w:r>
          </w:p>
        </w:tc>
        <w:tc>
          <w:tcPr>
            <w:tcW w:type="dxa" w:w="1234"/>
          </w:tcPr>
          <w:p>
            <w:r>
              <w:t>17.27</w:t>
            </w:r>
          </w:p>
        </w:tc>
        <w:tc>
          <w:tcPr>
            <w:tcW w:type="dxa" w:w="1234"/>
          </w:tcPr>
          <w:p>
            <w:r>
              <w:t>26.55</w:t>
            </w:r>
          </w:p>
        </w:tc>
        <w:tc>
          <w:tcPr>
            <w:tcW w:type="dxa" w:w="1234"/>
          </w:tcPr>
          <w:p>
            <w:r>
              <w:t>29.25</w:t>
            </w:r>
          </w:p>
        </w:tc>
        <w:tc>
          <w:tcPr>
            <w:tcW w:type="dxa" w:w="1234"/>
          </w:tcPr>
          <w:p>
            <w:r>
              <w:t>32.60</w:t>
            </w:r>
          </w:p>
        </w:tc>
      </w:tr>
      <w:tr>
        <w:tc>
          <w:tcPr>
            <w:tcW w:type="dxa" w:w="1234"/>
          </w:tcPr>
          <w:p>
            <w:r>
              <w:t>PE</w:t>
            </w:r>
          </w:p>
        </w:tc>
        <w:tc>
          <w:tcPr>
            <w:tcW w:type="dxa" w:w="1234"/>
          </w:tcPr>
          <w:p>
            <w:r>
              <w:t xml:space="preserve"> </w:t>
            </w:r>
          </w:p>
        </w:tc>
        <w:tc>
          <w:tcPr>
            <w:tcW w:type="dxa" w:w="1234"/>
          </w:tcPr>
          <w:p>
            <w:r>
              <w:t>201</w:t>
            </w:r>
          </w:p>
        </w:tc>
        <w:tc>
          <w:tcPr>
            <w:tcW w:type="dxa" w:w="1234"/>
          </w:tcPr>
          <w:p>
            <w:r>
              <w:t>150</w:t>
            </w:r>
          </w:p>
        </w:tc>
        <w:tc>
          <w:tcPr>
            <w:tcW w:type="dxa" w:w="1234"/>
          </w:tcPr>
          <w:p>
            <w:r>
              <w:t>127</w:t>
            </w:r>
          </w:p>
        </w:tc>
        <w:tc>
          <w:tcPr>
            <w:tcW w:type="dxa" w:w="1234"/>
          </w:tcPr>
          <w:p>
            <w:r>
              <w:t>97</w:t>
            </w:r>
          </w:p>
        </w:tc>
        <w:tc>
          <w:tcPr>
            <w:tcW w:type="dxa" w:w="1234"/>
          </w:tcPr>
          <w:p>
            <w:r>
              <w:t>77</w:t>
            </w:r>
          </w:p>
        </w:tc>
      </w:tr>
      <w:tr>
        <w:tc>
          <w:tcPr>
            <w:tcW w:type="dxa" w:w="1234"/>
          </w:tcPr>
          <w:p>
            <w:r>
              <w:t>PB</w:t>
            </w:r>
          </w:p>
        </w:tc>
        <w:tc>
          <w:tcPr>
            <w:tcW w:type="dxa" w:w="1234"/>
          </w:tcPr>
          <w:p>
            <w:r>
              <w:t xml:space="preserve"> </w:t>
            </w:r>
          </w:p>
        </w:tc>
        <w:tc>
          <w:tcPr>
            <w:tcW w:type="dxa" w:w="1234"/>
          </w:tcPr>
          <w:p>
            <w:r>
              <w:t>20.6</w:t>
            </w:r>
          </w:p>
        </w:tc>
        <w:tc>
          <w:tcPr>
            <w:tcW w:type="dxa" w:w="1234"/>
          </w:tcPr>
          <w:p>
            <w:r>
              <w:t>17.8</w:t>
            </w:r>
          </w:p>
        </w:tc>
        <w:tc>
          <w:tcPr>
            <w:tcW w:type="dxa" w:w="1234"/>
          </w:tcPr>
          <w:p>
            <w:r>
              <w:t>11.6</w:t>
            </w:r>
          </w:p>
        </w:tc>
        <w:tc>
          <w:tcPr>
            <w:tcW w:type="dxa" w:w="1234"/>
          </w:tcPr>
          <w:p>
            <w:r>
              <w:t>10.5</w:t>
            </w:r>
          </w:p>
        </w:tc>
        <w:tc>
          <w:tcPr>
            <w:tcW w:type="dxa" w:w="1234"/>
          </w:tcPr>
          <w:p>
            <w:r>
              <w:t>9.5</w:t>
            </w:r>
          </w:p>
        </w:tc>
      </w:tr>
    </w:tbl>
    <w:p>
      <w:pPr>
        <w:ind w:firstLine="360"/>
      </w:pPr>
      <w:r>
        <w:rPr>
          <w:sz w:val="20"/>
        </w:rPr>
        <w:t xml:space="preserve">中信证券 </w:t>
      </w:r>
      <w:r>
        <w:rPr>
          <w:sz w:val="20"/>
        </w:rPr>
        <w:t xml:space="preserve">CITICSECURITIES </w:t>
      </w:r>
    </w:p>
    <w:p>
      <w:pPr>
        <w:pStyle w:val="Heading1"/>
      </w:pPr>
      <w:r>
        <w:t>分析师声明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主要负责撰写本研究报告全部或部分内容的分析师在此声明：（i）本研究报告所表述的任何观点均精准地反映了上述每位分析师个人对标的证券和 </w:t>
      </w:r>
      <w:r>
        <w:rPr>
          <w:sz w:val="20"/>
        </w:rPr>
        <w:t xml:space="preserve">发行人的看法；（i）该分析师所得报酬的任何组成部分无论是在过去、现在及将来均不会直接或间接地与研究报告所表述的具体建议或观点相联系。 </w:t>
      </w:r>
      <w:r>
        <w:rPr>
          <w:sz w:val="20"/>
        </w:rPr>
        <w:t xml:space="preserve">评级说明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投资建议的评级标准</w:t>
            </w:r>
          </w:p>
        </w:tc>
        <w:tc>
          <w:tcPr>
            <w:tcW w:type="dxa" w:w="2160"/>
          </w:tcPr>
          <w:p>
            <w:r>
              <w:t xml:space="preserve"> </w:t>
            </w:r>
          </w:p>
        </w:tc>
        <w:tc>
          <w:tcPr>
            <w:tcW w:type="dxa" w:w="2160"/>
          </w:tcPr>
          <w:p>
            <w:r>
              <w:t>评级</w:t>
            </w:r>
          </w:p>
        </w:tc>
        <w:tc>
          <w:tcPr>
            <w:tcW w:type="dxa" w:w="2160"/>
          </w:tcPr>
          <w:p>
            <w:r>
              <w:t>说明</w:t>
            </w:r>
          </w:p>
        </w:tc>
      </w:tr>
      <w:tr>
        <w:tc>
          <w:tcPr>
            <w:tcW w:type="dxa" w:w="2160"/>
            <w:vMerge w:val="restart"/>
          </w:tcPr>
          <w:p>
            <w:r>
              <w:t>报告中投资建议所涉及的评级分为股票评级和行业评级 （另有说明的除外）。评级标准为报告发布日后6到12个 月内的相对市场表现，也即：以报告发布日后的6到12个 月内的公司股价（或行业指数）相对同期相关证券市场代 表性指数的涨跌幅作为基准。其中：A 股市场以沪深 300 指数为基准，新三板市场以三板成指（针对协议转让标的） 或三板做市指数（针对做市转让标的）为基准；香港市场 以摩根士丹利中国指数为基准；美国市场以纳斯达克综合 指数或标普500指数为基准；韩国市场以科斯达克指数或 韩国综合股价指数为基准。</w:t>
            </w:r>
          </w:p>
        </w:tc>
        <w:tc>
          <w:tcPr>
            <w:tcW w:type="dxa" w:w="2160"/>
            <w:vMerge w:val="restart"/>
          </w:tcPr>
          <w:p>
            <w:r>
              <w:t>股票评级</w:t>
            </w:r>
          </w:p>
        </w:tc>
        <w:tc>
          <w:tcPr>
            <w:tcW w:type="dxa" w:w="2160"/>
          </w:tcPr>
          <w:p>
            <w:r>
              <w:t>买入</w:t>
            </w:r>
          </w:p>
        </w:tc>
        <w:tc>
          <w:tcPr>
            <w:tcW w:type="dxa" w:w="2160"/>
          </w:tcPr>
          <w:p>
            <w:r>
              <w:t>相对同期相关证券市场代表性指数涨幅20%以上</w:t>
            </w:r>
          </w:p>
        </w:tc>
      </w:tr>
      <w:tr>
        <w:tc>
          <w:tcPr>
            <w:tcW w:type="dxa" w:w="2160"/>
            <w:vMerge/>
          </w:tcPr>
          <w:p/>
        </w:tc>
        <w:tc>
          <w:tcPr>
            <w:tcW w:type="dxa" w:w="2160"/>
            <w:vMerge/>
          </w:tcPr>
          <w:p/>
        </w:tc>
        <w:tc>
          <w:tcPr>
            <w:tcW w:type="dxa" w:w="2160"/>
          </w:tcPr>
          <w:p>
            <w:r>
              <w:t>增持</w:t>
            </w:r>
          </w:p>
        </w:tc>
        <w:tc>
          <w:tcPr>
            <w:tcW w:type="dxa" w:w="2160"/>
          </w:tcPr>
          <w:p>
            <w:r>
              <w:t>相对同期相关证券市场代表性指数涨幅介于5%～20%之间</w:t>
            </w:r>
          </w:p>
        </w:tc>
      </w:tr>
      <w:tr>
        <w:tc>
          <w:tcPr>
            <w:tcW w:type="dxa" w:w="2160"/>
            <w:vMerge/>
          </w:tcPr>
          <w:p/>
        </w:tc>
        <w:tc>
          <w:tcPr>
            <w:tcW w:type="dxa" w:w="2160"/>
            <w:vMerge/>
          </w:tcPr>
          <w:p/>
        </w:tc>
        <w:tc>
          <w:tcPr>
            <w:tcW w:type="dxa" w:w="2160"/>
          </w:tcPr>
          <w:p>
            <w:r>
              <w:t>持有</w:t>
            </w:r>
          </w:p>
        </w:tc>
        <w:tc>
          <w:tcPr>
            <w:tcW w:type="dxa" w:w="2160"/>
          </w:tcPr>
          <w:p>
            <w:r>
              <w:t>相对同期相关证券市场代表性指数涨幅介于-10%～5%之间</w:t>
            </w:r>
          </w:p>
        </w:tc>
      </w:tr>
      <w:tr>
        <w:tc>
          <w:tcPr>
            <w:tcW w:type="dxa" w:w="2160"/>
            <w:vMerge/>
          </w:tcPr>
          <w:p/>
        </w:tc>
        <w:tc>
          <w:tcPr>
            <w:tcW w:type="dxa" w:w="2160"/>
            <w:vMerge/>
          </w:tcPr>
          <w:p/>
        </w:tc>
        <w:tc>
          <w:tcPr>
            <w:tcW w:type="dxa" w:w="2160"/>
          </w:tcPr>
          <w:p>
            <w:r>
              <w:t>卖出 C</w:t>
            </w:r>
          </w:p>
        </w:tc>
        <w:tc>
          <w:tcPr>
            <w:tcW w:type="dxa" w:w="2160"/>
          </w:tcPr>
          <w:p>
            <w:r>
              <w:t>相对同期相关证券市场代表性指数跌幅10%以上</w:t>
            </w:r>
          </w:p>
        </w:tc>
      </w:tr>
      <w:tr>
        <w:tc>
          <w:tcPr>
            <w:tcW w:type="dxa" w:w="2160"/>
            <w:vMerge/>
          </w:tcPr>
          <w:p/>
        </w:tc>
        <w:tc>
          <w:tcPr>
            <w:tcW w:type="dxa" w:w="2160"/>
            <w:vMerge w:val="restart"/>
          </w:tcPr>
          <w:p>
            <w:r>
              <w:t>行业评级</w:t>
            </w:r>
          </w:p>
        </w:tc>
        <w:tc>
          <w:tcPr>
            <w:tcW w:type="dxa" w:w="2160"/>
          </w:tcPr>
          <w:p>
            <w:r>
              <w:t>强于大 中理</w:t>
            </w:r>
          </w:p>
        </w:tc>
        <w:tc>
          <w:tcPr>
            <w:tcW w:type="dxa" w:w="2160"/>
          </w:tcPr>
          <w:p>
            <w:r>
              <w:t>相对同期相关证券市场代表性指数涨幅10%以上</w:t>
            </w:r>
          </w:p>
        </w:tc>
      </w:tr>
      <w:tr>
        <w:tc>
          <w:tcPr>
            <w:tcW w:type="dxa" w:w="2160"/>
          </w:tcPr>
          <w:p>
            <w:r>
              <w:t xml:space="preserve"> </w:t>
            </w:r>
          </w:p>
        </w:tc>
        <w:tc>
          <w:tcPr>
            <w:tcW w:type="dxa" w:w="2160"/>
            <w:vMerge/>
          </w:tcPr>
          <w:p/>
        </w:tc>
        <w:tc>
          <w:tcPr>
            <w:tcW w:type="dxa" w:w="2160"/>
          </w:tcPr>
          <w:p>
            <w:r>
              <w:t>相对同期相关证券市场代表性指数涨幅介于-10%～10%之间</w:t>
            </w:r>
          </w:p>
        </w:tc>
        <w:tc>
          <w:tcPr>
            <w:tcW w:type="dxa" w:w="2160"/>
          </w:tcPr>
          <w:p/>
        </w:tc>
      </w:tr>
      <w:tr>
        <w:tc>
          <w:tcPr>
            <w:tcW w:type="dxa" w:w="2160"/>
          </w:tcPr>
          <w:p>
            <w:r>
              <w:t xml:space="preserve">o 溺于大市 </w:t>
            </w:r>
          </w:p>
        </w:tc>
        <w:tc>
          <w:tcPr>
            <w:tcW w:type="dxa" w:w="2160"/>
            <w:vMerge/>
          </w:tcPr>
          <w:p/>
        </w:tc>
        <w:tc>
          <w:tcPr>
            <w:tcW w:type="dxa" w:w="2160"/>
          </w:tcPr>
          <w:p>
            <w:r>
              <w:t>相对同期相关证券市场代表性指数跌幅10%以上</w:t>
            </w:r>
          </w:p>
        </w:tc>
        <w:tc>
          <w:tcPr>
            <w:tcW w:type="dxa" w:w="2160"/>
          </w:tcPr>
          <w:p/>
        </w:tc>
      </w:tr>
    </w:tbl>
    <w:p>
      <w:pPr>
        <w:sectPr>
          <w:type w:val="continuous"/>
          <w:pgSz w:w="12240" w:h="15840"/>
          <w:pgMar w:top="1440" w:right="1800" w:bottom="1440" w:left="1800" w:header="720" w:footer="720" w:gutter="0"/>
          <w:cols w:space="720" w:num="1"/>
          <w:docGrid w:linePitch="360"/>
        </w:sectPr>
      </w:pPr>
    </w:p>
    <w:p>
      <w:pPr>
        <w:pStyle w:val="Heading1"/>
      </w:pPr>
      <w:r>
        <w:t>其他声明</w:t>
      </w:r>
    </w:p>
    <w:p>
      <w:pPr>
        <w:pStyle w:val="Heading1"/>
      </w:pPr>
      <w:r>
        <w:t>法律主体声明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本研究报告在中华人民共和国（香港、澳门、台湾除外）由中信证券股份有限公司（受中国证券监督管理委员会监管，经营证券业务许可证编号： </w:t>
      </w:r>
      <w:r>
        <w:rPr>
          <w:sz w:val="20"/>
        </w:rPr>
        <w:t xml:space="preserve">Z20374000）分发。本研究报告由下列机构代表中信证券在相应地区分发：在中国香港由CLSALimited分发；在中国台湾由CLSecuritiesTaiwan Co., </w:t>
      </w:r>
      <w:r>
        <w:rPr>
          <w:sz w:val="20"/>
        </w:rPr>
        <w:t xml:space="preserve">Ltd.分发；在澳大利亚由CLSAAustralia PtyLtd.（金融服务牌照编号：350159）分发；在美国由CLSA group of companies（CLSAAmericas,LLC（下 </w:t>
      </w:r>
      <w:r>
        <w:rPr>
          <w:sz w:val="20"/>
        </w:rPr>
        <w:t xml:space="preserve">称“CLSAAmericas"）除外）分发；在新加坡由CLSASingaporePteLtd.（公司注册编号：198703750W）分发；在欧盟与英国由CLSAEuropeBV </w:t>
      </w:r>
      <w:r>
        <w:rPr>
          <w:sz w:val="20"/>
        </w:rPr>
        <w:t xml:space="preserve">或 CLSA（UK）分发；在印度由 CLSAIndiaPrivate Limited 分发（地址：孟买（400021）Nariman Point 的Dalamal House 8层；电话号码： </w:t>
      </w:r>
      <w:r>
        <w:rPr>
          <w:sz w:val="20"/>
        </w:rPr>
        <w:t xml:space="preserve">+91-22-66505050；传真号码：+91-22-22840271；公司识别号：U67120MH1994PLC083118；印度证券交易委员会注册编号：作为证券经纪商的 </w:t>
      </w:r>
      <w:r>
        <w:rPr>
          <w:sz w:val="20"/>
        </w:rPr>
        <w:t xml:space="preserve">INZ000001735，作为商人银行的INM000010619，作为研究分析商的INH000001113)；在印度尼西亚由PT CLSA SekuritasIndonesia分发；在日本 </w:t>
      </w:r>
      <w:r>
        <w:rPr>
          <w:sz w:val="20"/>
        </w:rPr>
        <w:t xml:space="preserve">由 CLSA Securities Japan Co.,Ltd.分发在韩国由CLSA Securities Korea Ltd.分发；在马来西亚由 CLSA Securities Malaysia Sdn Bhd 分发；在菲律 </w:t>
      </w:r>
      <w:r>
        <w:rPr>
          <w:sz w:val="20"/>
        </w:rPr>
        <w:t xml:space="preserve">宾由 CLSA PhilippinesInc.（菲律宾证券交易所及证券投资者保护基金会员）分发；在泰国由 CLSA Securities（Thailand)Limited 分发。 </w:t>
      </w:r>
    </w:p>
    <w:p>
      <w:pPr>
        <w:sectPr>
          <w:type w:val="continuous"/>
          <w:pgSz w:w="12240" w:h="15840"/>
          <w:pgMar w:top="1440" w:right="1800" w:bottom="1440" w:left="1800" w:header="720" w:footer="720" w:gutter="0"/>
          <w:cols w:space="720" w:num="1"/>
          <w:docGrid w:linePitch="360"/>
        </w:sectPr>
      </w:pPr>
    </w:p>
    <w:p>
      <w:pPr>
        <w:pStyle w:val="Heading1"/>
      </w:pPr>
      <w:r>
        <w:t>针对不同司法管辖区的声明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中国：根据中国证券监督管理委员会核发的经营证券业务许可，中信证券股份有限公司的经营范围包括证券投资咨询业务。 </w:t>
      </w:r>
      <w:r>
        <w:rPr>
          <w:sz w:val="20"/>
        </w:rPr>
        <w:t xml:space="preserve">美国：本研究报告由中信证券制作。本研究报告在美国由CLSAgroupofcompanies（CLSAAmericas除外）仅向符合美国《1934年证券交易法》下 </w:t>
      </w:r>
      <w:r>
        <w:rPr>
          <w:sz w:val="20"/>
        </w:rPr>
        <w:t xml:space="preserve">15a-6规则定义且CLSAAmericas提供服务的“主要美国机构投资者”分发。对身在美国的任何人士发送本研究报告将不被视为对本报告中所评论的证 </w:t>
      </w:r>
      <w:r>
        <w:rPr>
          <w:sz w:val="20"/>
        </w:rPr>
        <w:t xml:space="preserve">券进行交易的建议或对本报告中所载任何观点的背书。任何从中信证券与CLSAgroup of companies获得本研究报告的接收者如果希望在美国交易本报 </w:t>
      </w:r>
      <w:r>
        <w:rPr>
          <w:sz w:val="20"/>
        </w:rPr>
        <w:t xml:space="preserve">告中提及的任何证券应当联系CLSAAmericaS。 </w:t>
      </w:r>
      <w:r>
        <w:rPr>
          <w:sz w:val="20"/>
        </w:rPr>
        <w:t xml:space="preserve">新加坡：本研究报告在新加坡由CLSASingaporePteLtd.（资本市场经营许可持有人及受豁免的财务顾问），仅向新加坡《证券及期货法》s.4A（1）定 </w:t>
      </w:r>
      <w:r>
        <w:rPr>
          <w:sz w:val="20"/>
        </w:rPr>
        <w:t xml:space="preserve">义下的“机构投资者、认可投资者及专业投资者”分发。根据新加坡《财务顾问法》下《财务顾问（修正）规例（2005）》中关于机构投资者、认可投 </w:t>
      </w:r>
      <w:r>
        <w:rPr>
          <w:sz w:val="20"/>
        </w:rPr>
        <w:t xml:space="preserve">资者、专业投资者及海外投资者的第33、34及35条的规定，《财务顾问法》第25、27及36条不适用于CLSASingaporePteLtd.。如对本报告存有 </w:t>
      </w:r>
      <w:r>
        <w:rPr>
          <w:sz w:val="20"/>
        </w:rPr>
        <w:t xml:space="preserve">疑问，还请联系CLSA Singapore Pte Ltd.（电话：+65 6416 7888)。MCI(P) 024/12/2020。 </w:t>
      </w:r>
      <w:r>
        <w:rPr>
          <w:sz w:val="20"/>
        </w:rPr>
        <w:t xml:space="preserve">加拿大：本研究报告由中信证券制作。对身在加拿大的任何人士发送本研究报告将不被视为对本报告中所评论的证券进行交易的建议或对本报告中所载 </w:t>
      </w:r>
      <w:r>
        <w:rPr>
          <w:sz w:val="20"/>
        </w:rPr>
        <w:t xml:space="preserve">任何观点的背书。 </w:t>
      </w:r>
      <w:r>
        <w:rPr>
          <w:sz w:val="20"/>
        </w:rPr>
        <w:t xml:space="preserve">欧盟与英国：本研究报告在欧盟与英国归属于营销文件，其不是按照旨在提升研究报告独立性的法律要件而撰写，亦不受任何禁止在投资研究报告发布 </w:t>
      </w:r>
      <w:r>
        <w:rPr>
          <w:sz w:val="20"/>
        </w:rPr>
        <w:t xml:space="preserve">前进行交易的限制。本研究报告在欧盟与英国由CLSA（UK）或CLSAEuropeBV发布。CLSA（UK）由（英国）金融行为管理局授权并接受其管理， </w:t>
      </w:r>
      <w:r>
        <w:rPr>
          <w:sz w:val="20"/>
        </w:rPr>
        <w:t xml:space="preserve">CLSAEuropeBV由荷兰金融市场管理局授权并接受其管理，本研究报告针对由相应本地监管规定所界定的在投资方面具有专业经验的人士，且涉及到 </w:t>
      </w:r>
      <w:r>
        <w:rPr>
          <w:sz w:val="20"/>
        </w:rPr>
        <w:t xml:space="preserve">的任何投资活动仅针对此类人士。若您不具备投资的专业经验，请勿依赖本研究报告。对于由英国分析员编纂的研究资料，其由CLSA（UK）与CLSA </w:t>
      </w:r>
      <w:r>
        <w:rPr>
          <w:sz w:val="20"/>
        </w:rPr>
        <w:t xml:space="preserve">Europe BV制作并发布。就英国的金融行业准则与欧洲其他辖区的《金融工具市场指令II》，本研究报告被制作并意图作为实质性研究资料。 </w:t>
      </w:r>
      <w:r>
        <w:rPr>
          <w:sz w:val="20"/>
        </w:rPr>
        <w:t xml:space="preserve">澳大利亚：CLSAAustraliaPtyLtd（“CAPL”）（商业编号53139992331/金融服务牌照编号：350159）受澳大利亚证券和投资委员会监管，且为澳大利 </w:t>
      </w:r>
      <w:r>
        <w:rPr>
          <w:sz w:val="20"/>
        </w:rPr>
        <w:t xml:space="preserve">亚证券交易所及CHI-X的市场参与主体。本研究报告在澳大利亚由CAPL仅向“批发客户”发布及分发。本研究报告未考虑收件人的具体投资目标、财 </w:t>
      </w:r>
      <w:r>
        <w:rPr>
          <w:sz w:val="20"/>
        </w:rPr>
        <w:t xml:space="preserve">务状况或特定需求。未经CAPL事先书面同意，本研究报告的收件人不得将其分发给任何第三方。本段所称的“批发客户”适用于《公司法（2001）》 </w:t>
      </w:r>
      <w:r>
        <w:rPr>
          <w:sz w:val="20"/>
        </w:rPr>
        <w:t xml:space="preserve">第761G条的规定。CAPL研究覆盖范围包括研究部门管理层不时认为与投资者相关的ASXAllOrdinaries指数成分股、离岸市场上市证券、未上市发 </w:t>
      </w:r>
      <w:r>
        <w:rPr>
          <w:sz w:val="20"/>
        </w:rPr>
        <w:t xml:space="preserve">行人及投资产品。CAPL寻求覆盖各个行业中与其国内及国际投资者相关的公司。 </w:t>
      </w:r>
    </w:p>
    <w:p>
      <w:pPr>
        <w:sectPr>
          <w:type w:val="continuous"/>
          <w:pgSz w:w="12240" w:h="15840"/>
          <w:pgMar w:top="1440" w:right="1800" w:bottom="1440" w:left="1800" w:header="720" w:footer="720" w:gutter="0"/>
          <w:cols w:space="720" w:num="1"/>
          <w:docGrid w:linePitch="360"/>
        </w:sectPr>
      </w:pPr>
    </w:p>
    <w:p>
      <w:pPr>
        <w:pStyle w:val="Heading1"/>
      </w:pPr>
      <w:r>
        <w:t>一般性声明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本研究报告对于收件人而言属高度机密，只有收件人才能使用。本研究报告并非意图发送、发布给在当地法律或监管规则下不允许向其发送、发布 </w:t>
      </w:r>
      <w:r>
        <w:rPr>
          <w:sz w:val="20"/>
        </w:rPr>
        <w:t xml:space="preserve">该研究报告的人员。本研究报告仅为参考之用，在任何地区均不应被视为买卖任何证券、金融工具的要约或要约邀请。中信证券并不因收件人收到本报 </w:t>
      </w:r>
      <w:r>
        <w:rPr>
          <w:sz w:val="20"/>
        </w:rPr>
        <w:t xml:space="preserve">告而视其为中信证券的客户。本报告所包含的观点及建议并未考虑个别客户的特殊状况、目标或需要，不应被视为对特定客户关于特定证券或金融工具 </w:t>
      </w:r>
      <w:r>
        <w:rPr>
          <w:sz w:val="20"/>
        </w:rPr>
        <w:t xml:space="preserve">的建议或策略。对于本报告中提及的任何证券或金融工具，本报告的收件人须保持自身的独立判断。 </w:t>
      </w:r>
      <w:r>
        <w:rPr>
          <w:sz w:val="20"/>
        </w:rPr>
        <w:t xml:space="preserve">本报告所载资料的来源被认为是可靠的，但中信证券不保证其准确性或完整性。中信证券并不对使用本报告所包含的材料产生的任何直接或间接损 </w:t>
      </w:r>
      <w:r>
        <w:rPr>
          <w:sz w:val="20"/>
        </w:rPr>
        <w:t xml:space="preserve">失或与此有关的其他损失承担任何责任。本报告提及的任何证券或金融工具均可能含有重大的风险，可能不易变卖以及不适合所有投资者。本报告所提 </w:t>
      </w:r>
      <w:r>
        <w:rPr>
          <w:sz w:val="20"/>
        </w:rPr>
        <w:t xml:space="preserve">及的证券或金融工具的价格、价值及收益可能会受汇率影响而波动。过往的业绩并不能代表未来的表现。 </w:t>
      </w:r>
      <w:r>
        <w:rPr>
          <w:sz w:val="20"/>
        </w:rPr>
        <w:t xml:space="preserve">本报告所载的资料、观点及预测均反映了中信证券在最初发布该报告日期当日分析师的判断，可以在不发出通知的情况下做出更改，亦可因使用不 </w:t>
      </w:r>
      <w:r>
        <w:rPr>
          <w:sz w:val="20"/>
        </w:rPr>
        <w:t xml:space="preserve">同假设和标准、采用不同观点和分析方法而与中信证券其它业务部门、单位或附属机构在制作类似的其他材料时所给出的意见不同或者相反。中信证券 </w:t>
      </w:r>
      <w:r>
        <w:rPr>
          <w:sz w:val="20"/>
        </w:rPr>
        <w:t xml:space="preserve">并不承担提示本报告的收件人注意该等材料的责任。中信证券通过信息隔离墙控制中信证券内部一个或多个领域的信息向中信证券其他领域、单位、集 </w:t>
      </w:r>
      <w:r>
        <w:rPr>
          <w:sz w:val="20"/>
        </w:rPr>
        <w:t xml:space="preserve">团及其他附属机构的流动。负责撰写本报告的分析师的薪酬由研究部门管理层和中信证券高级管理层全权决定。分析师的薪酬不是基于中信证券投资银 </w:t>
      </w:r>
      <w:r>
        <w:rPr>
          <w:sz w:val="20"/>
        </w:rPr>
        <w:t xml:space="preserve">行收入而定，但是，分析师的薪酬可能与投行整体收入有关，其中包括投资银行、销售与交易业务。 </w:t>
      </w:r>
      <w:r>
        <w:rPr>
          <w:sz w:val="20"/>
        </w:rPr>
        <w:t xml:space="preserve">若中信证券以外的金融机构发送本报告，则由该金融机构为此发送行为承担全部责任。该机构的客户应联系该机构以交易本报告中提及的证券或要 </w:t>
      </w:r>
      <w:r>
        <w:rPr>
          <w:sz w:val="20"/>
        </w:rPr>
        <w:t xml:space="preserve">求获悉更详细信息。本报告不构成中信证券向发送本报告金融机构之客户提供的投资建议，中信证券以及中信证券的各个高级职员、董事和员工亦不为 </w:t>
      </w:r>
      <w:r>
        <w:rPr>
          <w:sz w:val="20"/>
        </w:rPr>
        <w:t xml:space="preserve">（前述金融机构之客户）因使用本报告或报告载明的内容产生的直接或间接损失承担任何责任。 </w:t>
      </w:r>
      <w:r>
        <w:rPr>
          <w:sz w:val="20"/>
        </w:rPr>
        <w:t xml:space="preserve">未经中信证券事先书面授权，任何人不得以任何目的复制、发送或销售本报告。 </w:t>
      </w:r>
      <w:r>
        <w:rPr>
          <w:sz w:val="20"/>
        </w:rPr>
        <w:t xml:space="preserve">中信证券2020版权所有。保留一切权利。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中信证券2020版权所有。保留一切权利。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