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中信证券 </w:t>
      </w:r>
      <w:r>
        <w:rPr>
          <w:sz w:val="20"/>
        </w:rPr>
        <w:t xml:space="preserve">CITICSECURITIES </w:t>
      </w:r>
    </w:p>
    <w:p>
      <w:pPr>
        <w:ind w:firstLine="360"/>
      </w:pPr>
      <w:r>
        <w:rPr>
          <w:sz w:val="20"/>
        </w:rPr>
        <w:t xml:space="preserve">中信证券研究部 </w:t>
      </w:r>
    </w:p>
    <w:p>
      <w:pPr>
        <w:ind w:firstLine="360"/>
      </w:pPr>
      <w:r>
        <w:rPr>
          <w:sz w:val="20"/>
        </w:rPr>
        <w:t xml:space="preserve">汽车及零部件行业2024年5月销量点评12024.6.18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核心观点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尹欣驰 </w:t>
      </w:r>
      <w:r>
        <w:rPr>
          <w:sz w:val="20"/>
        </w:rPr>
        <w:t xml:space="preserve">汽车及零部件行业 </w:t>
      </w:r>
      <w:r>
        <w:rPr>
          <w:sz w:val="20"/>
        </w:rPr>
        <w:t xml:space="preserve">首席分析师 </w:t>
      </w:r>
      <w:r>
        <w:rPr>
          <w:sz w:val="20"/>
        </w:rPr>
        <w:t xml:space="preserve">S1010519040002 </w:t>
      </w:r>
    </w:p>
    <w:p>
      <w:pPr>
        <w:ind w:firstLine="360"/>
      </w:pPr>
      <w:r>
        <w:rPr>
          <w:sz w:val="20"/>
        </w:rPr>
        <w:t xml:space="preserve">李景涛 </w:t>
      </w:r>
      <w:r>
        <w:rPr>
          <w:sz w:val="20"/>
        </w:rPr>
        <w:t xml:space="preserve">汽车及零部件行业 </w:t>
      </w:r>
      <w:r>
        <w:rPr>
          <w:sz w:val="20"/>
        </w:rPr>
        <w:t xml:space="preserve">联席首席分析师 </w:t>
      </w:r>
      <w:r>
        <w:rPr>
          <w:sz w:val="20"/>
        </w:rPr>
        <w:t xml:space="preserve">S1010520120003 </w:t>
      </w:r>
    </w:p>
    <w:p>
      <w:pPr>
        <w:ind w:firstLine="360"/>
      </w:pPr>
      <w:r>
        <w:rPr>
          <w:sz w:val="20"/>
        </w:rPr>
        <w:t xml:space="preserve">李子俊 </w:t>
      </w:r>
      <w:r>
        <w:rPr>
          <w:sz w:val="20"/>
        </w:rPr>
        <w:t xml:space="preserve">汽车及零部件分析 </w:t>
      </w:r>
      <w:r>
        <w:rPr>
          <w:sz w:val="20"/>
        </w:rPr>
        <w:t xml:space="preserve">师 </w:t>
      </w:r>
    </w:p>
    <w:p>
      <w:pPr>
        <w:ind w:firstLine="360"/>
      </w:pPr>
      <w:r>
        <w:rPr>
          <w:sz w:val="20"/>
        </w:rPr>
        <w:t xml:space="preserve">武平乐 </w:t>
      </w:r>
    </w:p>
    <w:p>
      <w:pPr>
        <w:ind w:firstLine="360"/>
      </w:pPr>
      <w:r>
        <w:rPr>
          <w:sz w:val="20"/>
        </w:rPr>
        <w:t xml:space="preserve">汽车及零部件分析师 </w:t>
      </w:r>
      <w:r>
        <w:rPr>
          <w:sz w:val="20"/>
        </w:rPr>
        <w:t xml:space="preserve">S1010522080002 </w:t>
      </w:r>
    </w:p>
    <w:p>
      <w:pPr>
        <w:jc w:val="center"/>
      </w:pPr>
      <w:r>
        <w:drawing>
          <wp:inline xmlns:a="http://schemas.openxmlformats.org/drawingml/2006/main" xmlns:pic="http://schemas.openxmlformats.org/drawingml/2006/picture">
            <wp:extent cx="1828800" cy="1592131"/>
            <wp:docPr id="1" name="Picture 1"/>
            <wp:cNvGraphicFramePr>
              <a:graphicFrameLocks noChangeAspect="1"/>
            </wp:cNvGraphicFramePr>
            <a:graphic>
              <a:graphicData uri="http://schemas.openxmlformats.org/drawingml/2006/picture">
                <pic:pic>
                  <pic:nvPicPr>
                    <pic:cNvPr id="0" name="[173, 1287, 343, 1435]_0.jpg"/>
                    <pic:cNvPicPr/>
                  </pic:nvPicPr>
                  <pic:blipFill>
                    <a:blip r:embed="rId9"/>
                    <a:stretch>
                      <a:fillRect/>
                    </a:stretch>
                  </pic:blipFill>
                  <pic:spPr>
                    <a:xfrm>
                      <a:off x="0" y="0"/>
                      <a:ext cx="1828800" cy="1592131"/>
                    </a:xfrm>
                    <a:prstGeom prst="rect"/>
                  </pic:spPr>
                </pic:pic>
              </a:graphicData>
            </a:graphic>
          </wp:inline>
        </w:drawing>
      </w:r>
    </w:p>
    <w:p>
      <w:pPr>
        <w:ind w:firstLine="360"/>
      </w:pPr>
      <w:r>
        <w:rPr>
          <w:sz w:val="20"/>
        </w:rPr>
        <w:t xml:space="preserve">董军韬 </w:t>
      </w:r>
      <w:r>
        <w:rPr>
          <w:sz w:val="20"/>
        </w:rPr>
        <w:t xml:space="preserve">汽车及零部件分析师 </w:t>
      </w:r>
      <w:r>
        <w:rPr>
          <w:sz w:val="20"/>
        </w:rPr>
        <w:t xml:space="preserve">S1010522090003 </w:t>
      </w:r>
    </w:p>
    <w:p>
      <w:pPr>
        <w:ind w:firstLine="360"/>
      </w:pPr>
      <w:r>
        <w:rPr>
          <w:sz w:val="20"/>
        </w:rPr>
        <w:t xml:space="preserve">证券研究报告 </w:t>
      </w:r>
    </w:p>
    <w:p>
      <w:pPr>
        <w:ind w:firstLine="360"/>
      </w:pPr>
      <w:r>
        <w:rPr>
          <w:sz w:val="20"/>
        </w:rPr>
        <w:t xml:space="preserve">汽车行业2024年5月实现批发销量207.5万辆，环比+2.5%，同比+1.5%。结 </w:t>
      </w:r>
      <w:r>
        <w:rPr>
          <w:sz w:val="20"/>
        </w:rPr>
        <w:t xml:space="preserve">构方面，5月出口销量受运力影响有所波动；新能源渗透率环比继续上行，随 </w:t>
      </w:r>
      <w:r>
        <w:rPr>
          <w:sz w:val="20"/>
        </w:rPr>
        <w:t xml:space="preserve">着北京车展优质供给年内逐渐上量，我们看好新能源渗透率继续提升。 </w:t>
      </w:r>
      <w:r>
        <w:rPr>
          <w:sz w:val="20"/>
        </w:rPr>
        <w:t xml:space="preserve">■事项：2024年6月14日，中国汽车工业协会发布2024年5月汽车产销数据， </w:t>
      </w:r>
      <w:r>
        <w:rPr>
          <w:sz w:val="20"/>
        </w:rPr>
        <w:t xml:space="preserve">对此我们点评如下： </w:t>
      </w:r>
      <w:r>
        <w:rPr>
          <w:sz w:val="20"/>
        </w:rPr>
        <w:t xml:space="preserve">■总量：汽车行业5月实现销量241.7万辆，环比+2.5%。根据中汽协数据，2024 </w:t>
      </w:r>
      <w:r>
        <w:rPr>
          <w:sz w:val="20"/>
        </w:rPr>
        <w:t xml:space="preserve">年5月，汽车产销分别为237.2万辆/241.7万辆，环比-1.4%/+2.5%，同比 </w:t>
      </w:r>
      <w:r>
        <w:rPr>
          <w:sz w:val="20"/>
        </w:rPr>
        <w:t xml:space="preserve">+1.7%/+1.5%，其中国内、出口销量分别为193.6万辆/48.1万辆，环比 </w:t>
      </w:r>
      <w:r>
        <w:rPr>
          <w:sz w:val="20"/>
        </w:rPr>
        <w:t xml:space="preserve">+4.3%/-4.4%，同比-2.9%/+23.9%，受运力影响，出口销量阶段性波动。2024 </w:t>
      </w:r>
      <w:r>
        <w:rPr>
          <w:sz w:val="20"/>
        </w:rPr>
        <w:t xml:space="preserve">年1~5月汽车产销分别为1138.4万辆/1149.6万辆，同比+6.5%/+8.3%，受益 </w:t>
      </w:r>
      <w:r>
        <w:rPr>
          <w:sz w:val="20"/>
        </w:rPr>
        <w:t xml:space="preserve">于出口销量的持续增长，汽车行业销量同比增长。 </w:t>
      </w:r>
      <w:r>
        <w:rPr>
          <w:sz w:val="20"/>
        </w:rPr>
        <w:t xml:space="preserve">■乘用车：乘用车行业5月实现销量207.5万辆，环比+3.7%。根据中汽协数据， </w:t>
      </w:r>
      <w:r>
        <w:rPr>
          <w:sz w:val="20"/>
        </w:rPr>
        <w:t xml:space="preserve">乘用车2024年5月产销分别为205.1万辆/207.5万辆，环比+0.1%/+3.7%，同 </w:t>
      </w:r>
      <w:r>
        <w:rPr>
          <w:sz w:val="20"/>
        </w:rPr>
        <w:t xml:space="preserve">比+2%/+1.2%。（1）分内销和出口：国内、出口销量分别为167.8万辆/39.7 </w:t>
      </w:r>
      <w:r>
        <w:rPr>
          <w:sz w:val="20"/>
        </w:rPr>
        <w:t xml:space="preserve">万辆，环比+6.7%/-7.4%，同比-2.8/+22.1%；（2）格局：自主品牌2024年5 </w:t>
      </w:r>
      <w:r>
        <w:rPr>
          <w:sz w:val="20"/>
        </w:rPr>
        <w:t xml:space="preserve">月销量132.3万辆，同比+20.4%，单月市场份额为63.7%，同比+10.2pcts，环 </w:t>
      </w:r>
      <w:r>
        <w:rPr>
          <w:sz w:val="20"/>
        </w:rPr>
        <w:t xml:space="preserve">比+0.2pct；1-5月自主品牌销量598.7万辆，同比+25.2%，自主品牌增速继续 </w:t>
      </w:r>
      <w:r>
        <w:rPr>
          <w:sz w:val="20"/>
        </w:rPr>
        <w:t xml:space="preserve">超越行业平均，继续看好自主品牌市占率提升。 </w:t>
      </w:r>
      <w:r>
        <w:rPr>
          <w:sz w:val="20"/>
        </w:rPr>
        <w:t xml:space="preserve">■商用车：商用车行业5月实现销量34.1万辆，环比-4.5%。根据中汽协数据， </w:t>
      </w:r>
      <w:r>
        <w:rPr>
          <w:sz w:val="20"/>
        </w:rPr>
        <w:t xml:space="preserve">商用车2024年5月产销分别为32.1万辆/34.1万辆，环比-10.1%/-4.5%，同比 </w:t>
      </w:r>
      <w:r>
        <w:rPr>
          <w:sz w:val="20"/>
        </w:rPr>
        <w:t xml:space="preserve">-0.2%/+3.3%。1-5月，商用车产销分别为167.5万辆/173.1万辆，同比 </w:t>
      </w:r>
      <w:r>
        <w:rPr>
          <w:sz w:val="20"/>
        </w:rPr>
        <w:t xml:space="preserve">+3.1%/+7.1%。我们预计商用车“以旧换新”政策有望推出，政策有望覆盖的存 </w:t>
      </w:r>
      <w:r>
        <w:rPr>
          <w:sz w:val="20"/>
        </w:rPr>
        <w:t xml:space="preserve">量重卡/大中客分别为40万辆/10万辆。我们认为商用车未来出口成长空间广阔， </w:t>
      </w:r>
      <w:r>
        <w:rPr>
          <w:sz w:val="20"/>
        </w:rPr>
        <w:t xml:space="preserve">且出口盈利能力显著高于国内，带来龙头公司较高的利润弹性。 </w:t>
      </w:r>
      <w:r>
        <w:rPr>
          <w:sz w:val="20"/>
        </w:rPr>
        <w:t xml:space="preserve">■新能源车：新能源车行业5月实现销量95.5万辆，环比+12.4%。根据中汽协数 </w:t>
      </w:r>
      <w:r>
        <w:rPr>
          <w:sz w:val="20"/>
        </w:rPr>
        <w:t xml:space="preserve">据，新能源车2024年5月产销分别为94万辆/95.5万辆，环比+8.0%/+12.4%， </w:t>
      </w:r>
      <w:r>
        <w:rPr>
          <w:sz w:val="20"/>
        </w:rPr>
        <w:t xml:space="preserve">同比+31.9%/+33.3%，渗透率达39.5%，同环比分别+9.4pcts/+3.5pcts。分动 </w:t>
      </w:r>
      <w:r>
        <w:rPr>
          <w:sz w:val="20"/>
        </w:rPr>
        <w:t xml:space="preserve">力类型看，纯电动汽车产销分别完成55.7万辆/58.3万辆，同比+8.8%/+12.5%； </w:t>
      </w:r>
      <w:r>
        <w:rPr>
          <w:sz w:val="20"/>
        </w:rPr>
        <w:t xml:space="preserve">插电式混合动力汽车产销分别完成38.3万辆/37.1万辆，同比+91.2%/+87.7%， </w:t>
      </w:r>
      <w:r>
        <w:rPr>
          <w:sz w:val="20"/>
        </w:rPr>
        <w:t xml:space="preserve">插混车增速表现继续好于纯电。1-5月，新能源车产销分别为392.6万辆/389.5 </w:t>
      </w:r>
      <w:r>
        <w:rPr>
          <w:sz w:val="20"/>
        </w:rPr>
        <w:t xml:space="preserve">万辆，同比+30.7%/+32.5%。随着北京车展优质供给年内逐渐上量，我们看好 </w:t>
      </w:r>
      <w:r>
        <w:rPr>
          <w:sz w:val="20"/>
        </w:rPr>
        <w:t xml:space="preserve">新能源渗透率逐月上行。 </w:t>
      </w:r>
      <w:r>
        <w:rPr>
          <w:sz w:val="20"/>
        </w:rPr>
        <w:t xml:space="preserve">■风险因素：中国经济增长不及预期的风险；缺芯导致整车出货量不及预期的风险； </w:t>
      </w:r>
      <w:r>
        <w:rPr>
          <w:sz w:val="20"/>
        </w:rPr>
        <w:t xml:space="preserve">汽车需求放缓的风险；关键原材料大幅涨价的风险；自动驾驶事故导致相关企业 </w:t>
      </w:r>
      <w:r>
        <w:rPr>
          <w:sz w:val="20"/>
        </w:rPr>
        <w:t xml:space="preserve">估值大幅下降的风险；行业竞争加剧的风险。 </w:t>
      </w:r>
      <w:r>
        <w:rPr>
          <w:sz w:val="20"/>
        </w:rPr>
        <w:t xml:space="preserve">■投资策略：5月出口销量受运力影响有所波动，随着北京车展优质供给年内逐渐 </w:t>
      </w:r>
      <w:r>
        <w:rPr>
          <w:sz w:val="20"/>
        </w:rPr>
        <w:t xml:space="preserve">上量，我们看好新能源渗透率继续提升。重点推荐：（1）DMI5.0技术发布、 </w:t>
      </w:r>
    </w:p>
    <w:p>
      <w:pPr>
        <w:ind w:firstLine="360"/>
      </w:pPr>
      <w:r>
        <w:rPr>
          <w:sz w:val="20"/>
        </w:rPr>
        <w:t xml:space="preserve">请务必阅读正文之后第4页起的免责条款和声明 </w:t>
      </w:r>
    </w:p>
    <w:p>
      <w:pPr>
        <w:ind w:firstLine="360"/>
      </w:pPr>
      <w:r>
        <w:rPr>
          <w:sz w:val="20"/>
        </w:rPr>
        <w:t xml:space="preserve">中信证券 </w:t>
      </w:r>
      <w:r>
        <w:rPr>
          <w:sz w:val="20"/>
        </w:rPr>
        <w:t xml:space="preserve">CITICSECURITIES </w:t>
      </w:r>
    </w:p>
    <w:p>
      <w:pPr>
        <w:ind w:firstLine="360"/>
      </w:pPr>
      <w:r>
        <w:rPr>
          <w:sz w:val="20"/>
        </w:rPr>
        <w:t xml:space="preserve">汽车及零部件行业 </w:t>
      </w:r>
      <w:r>
        <w:rPr>
          <w:sz w:val="20"/>
        </w:rPr>
        <w:t xml:space="preserve">评级 </w:t>
      </w:r>
      <w:r>
        <w:rPr>
          <w:sz w:val="20"/>
        </w:rPr>
        <w:t xml:space="preserve">强于大市 (维持) </w:t>
      </w:r>
    </w:p>
    <w:p>
      <w:pPr>
        <w:ind w:firstLine="360"/>
      </w:pPr>
      <w:r>
        <w:rPr>
          <w:sz w:val="20"/>
        </w:rPr>
        <w:t xml:space="preserve">请务必阅读正文之后的免责条款和声明 </w:t>
      </w:r>
    </w:p>
    <w:p>
      <w:pPr>
        <w:ind w:firstLine="360"/>
      </w:pPr>
      <w:r>
        <w:rPr>
          <w:sz w:val="20"/>
        </w:rPr>
        <w:t xml:space="preserve">汽车及零部件行业2024年5月销量点评|2024.6.18 </w:t>
      </w:r>
    </w:p>
    <w:p>
      <w:pPr>
        <w:ind w:firstLine="360"/>
      </w:pPr>
      <w:r>
        <w:rPr>
          <w:sz w:val="20"/>
        </w:rPr>
        <w:t xml:space="preserve">有望不断抢占20万以下合资车企份额的比亚迪，华为链主机厂（赛力斯、北汽 </w:t>
      </w:r>
      <w:r>
        <w:rPr>
          <w:sz w:val="20"/>
        </w:rPr>
        <w:t xml:space="preserve">蓝谷、长安汽车、江淮汽车），以及有望受益于汽车消费回暖和政策落地的长城 </w:t>
      </w:r>
      <w:r>
        <w:rPr>
          <w:sz w:val="20"/>
        </w:rPr>
        <w:t xml:space="preserve">汽车、小鹏汽车、理想汽车、吉利汽车；（2）处于增量赛道，同时全球扩张加 </w:t>
      </w:r>
      <w:r>
        <w:rPr>
          <w:sz w:val="20"/>
        </w:rPr>
        <w:t xml:space="preserve">速的零部件公司：保隆科技、继峰股份、双环传动、经纬恒润等；（3）周期向 </w:t>
      </w:r>
      <w:r>
        <w:rPr>
          <w:sz w:val="20"/>
        </w:rPr>
        <w:t xml:space="preserve">上同时长期盈利空间打开的商用车龙头公司：中集车辆、中国重汽、宇通客车等； </w:t>
      </w:r>
      <w:r>
        <w:rPr>
          <w:sz w:val="20"/>
        </w:rPr>
        <w:t xml:space="preserve">（4）产品升级、出海加速的两轮车龙头：雅迪控股、爱玛科技。 </w:t>
      </w:r>
    </w:p>
    <w:p>
      <w:pPr>
        <w:ind w:firstLine="360"/>
      </w:pPr>
      <w:r>
        <w:rPr>
          <w:sz w:val="20"/>
        </w:rPr>
        <w:t xml:space="preserve">中信证券 </w:t>
      </w:r>
      <w:r>
        <w:rPr>
          <w:sz w:val="20"/>
        </w:rPr>
        <w:t xml:space="preserve">CITICSECURITIES </w:t>
      </w:r>
    </w:p>
    <w:p>
      <w:pPr>
        <w:ind w:firstLine="360"/>
      </w:pPr>
      <w:r>
        <w:rPr>
          <w:sz w:val="20"/>
        </w:rPr>
        <w:t xml:space="preserve">汽车及零部件行业2024年5月销量点评|2024.6.18 </w:t>
      </w:r>
    </w:p>
    <w:p>
      <w:pPr>
        <w:sectPr>
          <w:type w:val="continuous"/>
          <w:pgSz w:w="12240" w:h="15840"/>
          <w:pgMar w:top="1440" w:right="1800" w:bottom="1440" w:left="1800" w:header="720" w:footer="720" w:gutter="0"/>
          <w:cols w:space="720" w:num="2"/>
          <w:docGrid w:linePitch="360"/>
        </w:sectPr>
      </w:pPr>
    </w:p>
    <w:p>
      <w:pPr>
        <w:pStyle w:val="Heading1"/>
      </w:pPr>
      <w:r>
        <w:t>相关研究</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请务必阅读正文之后的免责条款和声明 </w:t>
      </w:r>
    </w:p>
    <w:p>
      <w:pPr>
        <w:ind w:firstLine="360"/>
      </w:pPr>
      <w:r>
        <w:rPr>
          <w:sz w:val="20"/>
        </w:rPr>
        <w:t xml:space="preserve">汽车行业线控底盘专题报告一线控底盘：功能集成加速，自主快速崛起（PPT) </w:t>
      </w:r>
      <w:r>
        <w:rPr>
          <w:sz w:val="20"/>
        </w:rPr>
        <w:t xml:space="preserve">(2024-06-07) </w:t>
      </w:r>
      <w:r>
        <w:rPr>
          <w:sz w:val="20"/>
        </w:rPr>
        <w:t xml:space="preserve">汽车行业2024年下半年投资策略一内卷中进化，逆风中布局（PPT） </w:t>
      </w:r>
      <w:r>
        <w:rPr>
          <w:sz w:val="20"/>
        </w:rPr>
        <w:t xml:space="preserve">(2024-06-06) </w:t>
      </w:r>
      <w:r>
        <w:rPr>
          <w:sz w:val="20"/>
        </w:rPr>
        <w:t xml:space="preserve">汽车行业2024年下半年投资策略一内卷中进化，逆风中布局 </w:t>
      </w:r>
      <w:r>
        <w:rPr>
          <w:sz w:val="20"/>
        </w:rPr>
        <w:t xml:space="preserve">(2024-06-03) </w:t>
      </w:r>
      <w:r>
        <w:rPr>
          <w:sz w:val="20"/>
        </w:rPr>
        <w:t xml:space="preserve">汽车产业趋势复盘专题一从合资品牌、SUV，到新能源、智能化（PPT）(2024-05-19) </w:t>
      </w:r>
      <w:r>
        <w:rPr>
          <w:sz w:val="20"/>
        </w:rPr>
        <w:t xml:space="preserve">汽车及零部件行业2024年4月销量点评一4月产销符合预期，政策落地有望提振需求 </w:t>
      </w:r>
      <w:r>
        <w:rPr>
          <w:sz w:val="20"/>
        </w:rPr>
        <w:t xml:space="preserve">(2024-05-15) </w:t>
      </w:r>
      <w:r>
        <w:rPr>
          <w:sz w:val="20"/>
        </w:rPr>
        <w:t xml:space="preserve">两轮车行业监管政策点评一两轮车新规落实强监管，行业格局将加速优化(2024-05-09) </w:t>
      </w:r>
      <w:r>
        <w:rPr>
          <w:sz w:val="20"/>
        </w:rPr>
        <w:t xml:space="preserve">汽车及零部件行业重大事项点评一特斯拉机器人操作精细度升级，聚焦落地实用性 </w:t>
      </w:r>
      <w:r>
        <w:rPr>
          <w:sz w:val="20"/>
        </w:rPr>
        <w:t xml:space="preserve">(2024-05-07) </w:t>
      </w:r>
      <w:r>
        <w:rPr>
          <w:sz w:val="20"/>
        </w:rPr>
        <w:t xml:space="preserve">汽车及零部件行业重大事项点评一“以旧换新”补贴落地，推荐超配汽车板块 </w:t>
      </w:r>
      <w:r>
        <w:rPr>
          <w:sz w:val="20"/>
        </w:rPr>
        <w:t xml:space="preserve">(2024-04-27) </w:t>
      </w:r>
      <w:r>
        <w:rPr>
          <w:sz w:val="20"/>
        </w:rPr>
        <w:t xml:space="preserve">汽车及零部件行业特斯拉FSD专题一FSDV12大规模推送，智能驾驶的ChatGPT时刻渐 </w:t>
      </w:r>
      <w:r>
        <w:rPr>
          <w:sz w:val="20"/>
        </w:rPr>
        <w:t xml:space="preserve">行渐近 </w:t>
      </w:r>
      <w:r>
        <w:rPr>
          <w:sz w:val="20"/>
        </w:rPr>
        <w:t xml:space="preserve">(2024-04-16) </w:t>
      </w:r>
      <w:r>
        <w:rPr>
          <w:sz w:val="20"/>
        </w:rPr>
        <w:t xml:space="preserve">94c968c287c1e61cc32b51f23 </w:t>
      </w:r>
      <w:r>
        <w:rPr>
          <w:sz w:val="20"/>
        </w:rPr>
        <w:t xml:space="preserve">汽车及零部件行业华为汽车业务重大事项点评一春季沟通会亮点多多，持续推荐华为链 </w:t>
      </w:r>
      <w:r>
        <w:rPr>
          <w:sz w:val="20"/>
        </w:rPr>
        <w:t xml:space="preserve">28463f49405167e5 </w:t>
      </w:r>
      <w:r>
        <w:rPr>
          <w:sz w:val="20"/>
        </w:rPr>
        <w:t xml:space="preserve">(2024-04-13) </w:t>
      </w:r>
      <w:r>
        <w:rPr>
          <w:sz w:val="20"/>
        </w:rPr>
        <w:t xml:space="preserve">汽车及零部件行业两轮车子行业事件点评一政策或再起变化龙头将强者愈强(2024-04-09) </w:t>
      </w:r>
      <w:r>
        <w:rPr>
          <w:sz w:val="20"/>
        </w:rPr>
        <w:t xml:space="preserve">飞行汽车系列报告（一）一飞向三维移动的新世界（PPT) </w:t>
      </w:r>
      <w:r>
        <w:rPr>
          <w:sz w:val="20"/>
        </w:rPr>
        <w:t xml:space="preserve">(2024-04-09) </w:t>
      </w:r>
      <w:r>
        <w:rPr>
          <w:sz w:val="20"/>
        </w:rPr>
        <w:t xml:space="preserve">“中国汽车出海正当时”系列报告一虽难但行，虽远必至（PPT） </w:t>
      </w:r>
      <w:r>
        <w:rPr>
          <w:sz w:val="20"/>
        </w:rPr>
        <w:t xml:space="preserve">(2024-04-08) </w:t>
      </w:r>
      <w:r>
        <w:rPr>
          <w:sz w:val="20"/>
        </w:rPr>
        <w:t xml:space="preserve">汽车及零部件行业2024年2月销量点评一2月季节性因素产销下滑，期待政策落地、新车 </w:t>
      </w:r>
      <w:r>
        <w:rPr>
          <w:sz w:val="20"/>
        </w:rPr>
        <w:t xml:space="preserve">密集上市 </w:t>
      </w:r>
      <w:r>
        <w:rPr>
          <w:sz w:val="20"/>
        </w:rPr>
        <w:t xml:space="preserve">(2024-03-19) </w:t>
      </w:r>
      <w:r>
        <w:rPr>
          <w:sz w:val="20"/>
        </w:rPr>
        <w:t xml:space="preserve">汽车及零部件行业两轮车行业专题一钠电池打开新空间，推动进入新格局(2024-03-15) </w:t>
      </w:r>
      <w:r>
        <w:rPr>
          <w:sz w:val="20"/>
        </w:rPr>
        <w:t xml:space="preserve">汽车及零部件行业重大事件点评一国常会审议通过，“以旧换新”方案落地中(2024-03-04) </w:t>
      </w:r>
      <w:r>
        <w:rPr>
          <w:sz w:val="20"/>
        </w:rPr>
        <w:t xml:space="preserve">汽车及零部件行业重大事件点评一会议指引超预期，产业景气再加速 </w:t>
      </w:r>
      <w:r>
        <w:rPr>
          <w:sz w:val="20"/>
        </w:rPr>
        <w:t xml:space="preserve">(2024-02-26) </w:t>
      </w:r>
      <w:r>
        <w:rPr>
          <w:sz w:val="20"/>
        </w:rPr>
        <w:t xml:space="preserve">汽车行业合资车企专题报告一谈古论今：合资车企路向何方 </w:t>
      </w:r>
      <w:r>
        <w:rPr>
          <w:sz w:val="20"/>
        </w:rPr>
        <w:t xml:space="preserve">(2024-02-20) </w:t>
      </w:r>
      <w:r>
        <w:rPr>
          <w:sz w:val="20"/>
        </w:rPr>
        <w:t xml:space="preserve">汽车及零部件行业2023年12月销量点评一12月产销符合预期，看好2024年车市平稳向 </w:t>
      </w:r>
      <w:r>
        <w:rPr>
          <w:sz w:val="20"/>
        </w:rPr>
        <w:t xml:space="preserve">上 </w:t>
      </w:r>
      <w:r>
        <w:rPr>
          <w:sz w:val="20"/>
        </w:rPr>
        <w:t xml:space="preserve">(2024-01-18) </w:t>
      </w:r>
      <w:r>
        <w:rPr>
          <w:sz w:val="20"/>
        </w:rPr>
        <w:t xml:space="preserve">汽车及零部件行业汽车电子系列专题一从CES2024看汽车，智能升级全面加速 </w:t>
      </w:r>
      <w:r>
        <w:rPr>
          <w:sz w:val="20"/>
        </w:rPr>
        <w:t xml:space="preserve">(2024-01-17) </w:t>
      </w:r>
      <w:r>
        <w:rPr>
          <w:sz w:val="20"/>
        </w:rPr>
        <w:t xml:space="preserve">汽车及零部件行业天然气重卡行业跟踪点评一天然气重卡发动机可能在春节后进入供需紧 </w:t>
      </w:r>
      <w:r>
        <w:rPr>
          <w:sz w:val="20"/>
        </w:rPr>
        <w:t xml:space="preserve">平衡 </w:t>
      </w:r>
      <w:r>
        <w:rPr>
          <w:sz w:val="20"/>
        </w:rPr>
        <w:t xml:space="preserve">(2024-01-10) </w:t>
      </w:r>
      <w:r>
        <w:rPr>
          <w:sz w:val="20"/>
        </w:rPr>
        <w:t xml:space="preserve">汽车及零部件行业小米汽车专题研究一变革已至，跨界生长 </w:t>
      </w:r>
      <w:r>
        <w:rPr>
          <w:sz w:val="20"/>
        </w:rPr>
        <w:t xml:space="preserve">(2024-01-03) </w:t>
      </w:r>
      <w:r>
        <w:rPr>
          <w:sz w:val="20"/>
        </w:rPr>
        <w:t xml:space="preserve">汽车及零部件行业滑板底盘专题研究一从Rivian看滑板底盘的发展趋势：锋芒已露，可圈 </w:t>
      </w:r>
      <w:r>
        <w:rPr>
          <w:sz w:val="20"/>
        </w:rPr>
        <w:t xml:space="preserve">可点 </w:t>
      </w:r>
      <w:r>
        <w:rPr>
          <w:sz w:val="20"/>
        </w:rPr>
        <w:t xml:space="preserve">(2024-01-01) </w:t>
      </w:r>
      <w:r>
        <w:rPr>
          <w:sz w:val="20"/>
        </w:rPr>
        <w:t xml:space="preserve">汽车行业专题报告一华为汽车业务一学习曲线建立完善，HI+智选双轮驱动(2023-12-17) </w:t>
      </w:r>
    </w:p>
    <w:p>
      <w:pPr>
        <w:ind w:firstLine="360"/>
      </w:pPr>
      <w:r>
        <w:rPr>
          <w:sz w:val="20"/>
        </w:rPr>
        <w:t xml:space="preserve">3 </w:t>
      </w:r>
    </w:p>
    <w:p>
      <w:pPr>
        <w:ind w:firstLine="360"/>
      </w:pPr>
      <w:r>
        <w:rPr>
          <w:sz w:val="20"/>
        </w:rPr>
        <w:t xml:space="preserve">中信证券 </w:t>
      </w:r>
      <w:r>
        <w:rPr>
          <w:sz w:val="20"/>
        </w:rPr>
        <w:t xml:space="preserve">CITICSECURITIES </w:t>
      </w:r>
    </w:p>
    <w:p>
      <w:pPr>
        <w:ind w:firstLine="360"/>
      </w:pPr>
      <w:r>
        <w:rPr>
          <w:sz w:val="20"/>
        </w:rPr>
        <w:t xml:space="preserve">分析师声明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主要负责撰写本研究报告全部或部分内容的分析师在此声明：（i）本研究报告所表述的任何观点均精准地反映了上述每位分析师个人对标的证券和 </w:t>
      </w:r>
      <w:r>
        <w:rPr>
          <w:sz w:val="20"/>
        </w:rPr>
        <w:t xml:space="preserve">发行人的看法；（i）该分析师所得报酬的任何组成部分无论是在过去、现在及将来均不会直接或间接地与研究报告所表述的具体建议或观点相联系。 </w:t>
      </w:r>
    </w:p>
    <w:p>
      <w:pPr>
        <w:sectPr>
          <w:type w:val="continuous"/>
          <w:pgSz w:w="12240" w:h="15840"/>
          <w:pgMar w:top="1440" w:right="1800" w:bottom="1440" w:left="1800" w:header="720" w:footer="720" w:gutter="0"/>
          <w:cols w:space="720" w:num="1"/>
          <w:docGrid w:linePitch="360"/>
        </w:sectPr>
      </w:pPr>
    </w:p>
    <w:p>
      <w:pPr>
        <w:pStyle w:val="Heading1"/>
      </w:pPr>
      <w:r>
        <w:t>一般性声明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本研究报告由中信证券股份有限公司或其附属机构制作。中信证券股份有限公司及其全球的附属机构、分支机构及联营机构（仅就本研究报告免责 </w:t>
      </w:r>
      <w:r>
        <w:rPr>
          <w:sz w:val="20"/>
        </w:rPr>
        <w:t xml:space="preserve">条款而言，不含CLSA group of companies），统称为“中信证券”。 </w:t>
      </w:r>
      <w:r>
        <w:rPr>
          <w:sz w:val="20"/>
        </w:rPr>
        <w:t xml:space="preserve">本研究报告对于收件人而言属高度机密，只有收件人才能使用。本研究报告并非意图发送、发布给在当地法律或监管规则下不允许向其发送、发布 </w:t>
      </w:r>
      <w:r>
        <w:rPr>
          <w:sz w:val="20"/>
        </w:rPr>
        <w:t xml:space="preserve">该研究报告的人员。本研究报告仅为参考之用，在任何地区均不应被视为买卖任何证券、金融工具的要约或要约邀请。中信证券并不因收件人收到本报 </w:t>
      </w:r>
      <w:r>
        <w:rPr>
          <w:sz w:val="20"/>
        </w:rPr>
        <w:t xml:space="preserve">告而视其为中信证券的客户。本报告所包含的观点及建议并未考虑个别客户的特殊状况、目标或需要，不应被视为对特定客户关于特定证券或金融工具 </w:t>
      </w:r>
      <w:r>
        <w:rPr>
          <w:sz w:val="20"/>
        </w:rPr>
        <w:t xml:space="preserve">的建议或策略。对于本报告中提及的任何证券或金融工具，本报告的收件人须保持自身的独立判断并自行承担投资风险。 </w:t>
      </w:r>
      <w:r>
        <w:rPr>
          <w:sz w:val="20"/>
        </w:rPr>
        <w:t xml:space="preserve">本报告所载资料的来源被认为是可靠的，但中信证券不保证其准确性或完整性。中信证券并不对使用本报告或其所包含的内容产生的任何直接或间 </w:t>
      </w:r>
      <w:r>
        <w:rPr>
          <w:sz w:val="20"/>
        </w:rPr>
        <w:t xml:space="preserve">接损失或与此有关的其他损失承担任何责任本报告提及的任何证券或金融工具均可能含有重大的风险，可能不易变卖以及不适合所有投资者。本报告 </w:t>
      </w:r>
      <w:r>
        <w:rPr>
          <w:sz w:val="20"/>
        </w:rPr>
        <w:t xml:space="preserve">所提及的证券或金融工具的价格、价值及收益可跌可升。过往的业绩并不能代表未来的表现。 </w:t>
      </w:r>
      <w:r>
        <w:rPr>
          <w:sz w:val="20"/>
        </w:rPr>
        <w:t xml:space="preserve">本报告所载的资料、观点及预测均反映了中信证券在最初发布该报告日期当日分析师的判断，可以在不发出通知的情况下做出更改，亦可因使用不 </w:t>
      </w:r>
      <w:r>
        <w:rPr>
          <w:sz w:val="20"/>
        </w:rPr>
        <w:t xml:space="preserve">同假设和标准、采用不同观点和分析方法而与中信证券其它业务部门、单位或附属机构在制作类似的其他材料时所给出的意见不同或者相反。中信证券 </w:t>
      </w:r>
      <w:r>
        <w:rPr>
          <w:sz w:val="20"/>
        </w:rPr>
        <w:t xml:space="preserve">并不承担提示本报告的收件人注意该等材料的责任。中信证券通过信息隔离墙控制中信证券内部一个或多个领域的信息向中信证券其他领域、单位、集 </w:t>
      </w:r>
      <w:r>
        <w:rPr>
          <w:sz w:val="20"/>
        </w:rPr>
        <w:t xml:space="preserve">团及其他附属机构的流动。负责撰写本报告的分析师的薪酬由研究部门管理层和中信证券高级管理层全权决定。分析师的薪酬不是基于中信证券投资银 </w:t>
      </w:r>
      <w:r>
        <w:rPr>
          <w:sz w:val="20"/>
        </w:rPr>
        <w:t xml:space="preserve">行收入而定，但是，分析师的薪酬可能与投行整体收入有关，其中包括投资银行、销售与交易业务。 </w:t>
      </w:r>
      <w:r>
        <w:rPr>
          <w:sz w:val="20"/>
        </w:rPr>
        <w:t xml:space="preserve">3 </w:t>
      </w:r>
      <w:r>
        <w:rPr>
          <w:sz w:val="20"/>
        </w:rPr>
        <w:t xml:space="preserve">若中信证券以外的金融机构发送本报告，则由该金融机构为此发送行为承担全部责任。该机构的客户应联系该机构以交易本报告中提及的证券或要 </w:t>
      </w:r>
      <w:r>
        <w:rPr>
          <w:sz w:val="20"/>
        </w:rPr>
        <w:t xml:space="preserve">求获悉更详细信息。本报告不构成中信证券向发送本报告金融机构之客户提供的投资建议，中信证券以及中信证券的各个高级职员、董事和员工亦不为 </w:t>
      </w:r>
      <w:r>
        <w:rPr>
          <w:sz w:val="20"/>
        </w:rPr>
        <w:t xml:space="preserve">（前述金融机构之客户）因使用本报告或报告载明的内容产生的直接或间接损失承担任何责任。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评级说明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3 投资建议的评级标准 5</w:t>
            </w:r>
          </w:p>
        </w:tc>
        <w:tc>
          <w:tcPr>
            <w:tcW w:type="dxa" w:w="2160"/>
          </w:tcPr>
          <w:p>
            <w:r>
              <w:t xml:space="preserve"> </w:t>
            </w:r>
          </w:p>
        </w:tc>
        <w:tc>
          <w:tcPr>
            <w:tcW w:type="dxa" w:w="2160"/>
          </w:tcPr>
          <w:p>
            <w:r>
              <w:t>评级</w:t>
            </w:r>
          </w:p>
        </w:tc>
        <w:tc>
          <w:tcPr>
            <w:tcW w:type="dxa" w:w="2160"/>
          </w:tcPr>
          <w:p>
            <w:r>
              <w:t>说明</w:t>
            </w:r>
          </w:p>
        </w:tc>
      </w:tr>
      <w:tr>
        <w:tc>
          <w:tcPr>
            <w:tcW w:type="dxa" w:w="2160"/>
            <w:vMerge w:val="restart"/>
          </w:tcPr>
          <w:p>
            <w:r>
              <w:t>报告中投资建议所涉及的评级分为股票评级和行业评级 （另有说明的除外）。评级标准为报告发布日后6到12个 月内的相对市场表现，也即：以报告发布日后的6到12个 月内的公司股价（或行业指数）相对同期相关证券市场代 表性指数的涨跌幅作为基准。其中：A股市场以沪深300 指数为基准，新三板市场以三板成指（针对协议转让标的) 或三板做市指数（针对做市转让标的）为基准；中国香港 市场以摩根士丹利中国指数为基准；美国市场以纳斯达克 综合指数或标普500指数为基准；韩国市场以韩国 KOSDAQ指数或KOSPI指数为基准；日本市场以日经225 指数为基准；中国台湾市场以台湾加权指数为基准；法国 市场以法国CAC40指数为基准；意大利市场以意大利富 时MIB指数为基准；德国市场以德国DAX指数为基准；瑞 士市场以瑞士SMI指数为基准；英国市场以英国富时100 指数为基准；新加坡市场以新加坡海峡时报指数为基准； 泰国市场以泰国SET指数为基准；印度尼西亚市场以印度 尼西亚JCI指数为基准；马来西亚市场以富时大马吉隆坡 综合指数为基准；巴西市场以巴西IBOVESPA指数为基准。</w:t>
            </w:r>
          </w:p>
        </w:tc>
        <w:tc>
          <w:tcPr>
            <w:tcW w:type="dxa" w:w="2160"/>
            <w:vMerge w:val="restart"/>
          </w:tcPr>
          <w:p>
            <w:r>
              <w:t xml:space="preserve"> </w:t>
            </w:r>
          </w:p>
        </w:tc>
        <w:tc>
          <w:tcPr>
            <w:tcW w:type="dxa" w:w="2160"/>
          </w:tcPr>
          <w:p>
            <w:r>
              <w:t>买入</w:t>
            </w:r>
          </w:p>
        </w:tc>
        <w:tc>
          <w:tcPr>
            <w:tcW w:type="dxa" w:w="2160"/>
          </w:tcPr>
          <w:p>
            <w:r>
              <w:t>相对同期相关证券市场代表性指数涨幅20%以上</w:t>
            </w:r>
          </w:p>
        </w:tc>
      </w:tr>
      <w:tr>
        <w:tc>
          <w:tcPr>
            <w:tcW w:type="dxa" w:w="2160"/>
            <w:vMerge/>
          </w:tcPr>
          <w:p/>
        </w:tc>
        <w:tc>
          <w:tcPr>
            <w:tcW w:type="dxa" w:w="2160"/>
            <w:vMerge/>
          </w:tcPr>
          <w:p/>
        </w:tc>
        <w:tc>
          <w:tcPr>
            <w:tcW w:type="dxa" w:w="2160"/>
          </w:tcPr>
          <w:p>
            <w:r>
              <w:t>增持</w:t>
            </w:r>
          </w:p>
        </w:tc>
        <w:tc>
          <w:tcPr>
            <w:tcW w:type="dxa" w:w="2160"/>
          </w:tcPr>
          <w:p>
            <w:r>
              <w:t>相对同期相关证券市场代表性指数涨幅介于5%～20%之间</w:t>
            </w:r>
          </w:p>
        </w:tc>
      </w:tr>
      <w:tr>
        <w:tc>
          <w:tcPr>
            <w:tcW w:type="dxa" w:w="2160"/>
            <w:vMerge/>
          </w:tcPr>
          <w:p/>
        </w:tc>
        <w:tc>
          <w:tcPr>
            <w:tcW w:type="dxa" w:w="2160"/>
            <w:vMerge/>
          </w:tcPr>
          <w:p/>
        </w:tc>
        <w:tc>
          <w:tcPr>
            <w:tcW w:type="dxa" w:w="2160"/>
          </w:tcPr>
          <w:p>
            <w:r>
              <w:t>股票评级 持有</w:t>
            </w:r>
          </w:p>
        </w:tc>
        <w:tc>
          <w:tcPr>
            <w:tcW w:type="dxa" w:w="2160"/>
          </w:tcPr>
          <w:p>
            <w:r>
              <w:t>相对同期相关证券市场代表性指数涨幅介于-10%～5%之间</w:t>
            </w:r>
          </w:p>
        </w:tc>
      </w:tr>
      <w:tr>
        <w:tc>
          <w:tcPr>
            <w:tcW w:type="dxa" w:w="2160"/>
            <w:vMerge/>
          </w:tcPr>
          <w:p/>
        </w:tc>
        <w:tc>
          <w:tcPr>
            <w:tcW w:type="dxa" w:w="2160"/>
            <w:vMerge/>
          </w:tcPr>
          <w:p/>
        </w:tc>
        <w:tc>
          <w:tcPr>
            <w:tcW w:type="dxa" w:w="2160"/>
          </w:tcPr>
          <w:p>
            <w:r>
              <w:t>卖出</w:t>
            </w:r>
          </w:p>
        </w:tc>
        <w:tc>
          <w:tcPr>
            <w:tcW w:type="dxa" w:w="2160"/>
          </w:tcPr>
          <w:p>
            <w:r>
              <w:t>相对同期相关证券市场代表性指数跌幅10%以上</w:t>
            </w:r>
          </w:p>
        </w:tc>
      </w:tr>
      <w:tr>
        <w:tc>
          <w:tcPr>
            <w:tcW w:type="dxa" w:w="2160"/>
            <w:vMerge/>
          </w:tcPr>
          <w:p/>
        </w:tc>
        <w:tc>
          <w:tcPr>
            <w:tcW w:type="dxa" w:w="2160"/>
            <w:vMerge/>
          </w:tcPr>
          <w:p/>
        </w:tc>
        <w:tc>
          <w:tcPr>
            <w:tcW w:type="dxa" w:w="2160"/>
          </w:tcPr>
          <w:p>
            <w:r>
              <w:t>强于大市</w:t>
            </w:r>
          </w:p>
        </w:tc>
        <w:tc>
          <w:tcPr>
            <w:tcW w:type="dxa" w:w="2160"/>
          </w:tcPr>
          <w:p>
            <w:r>
              <w:t>相对同期相关证券市场代表性指数涨幅10%以上</w:t>
            </w:r>
          </w:p>
        </w:tc>
      </w:tr>
      <w:tr>
        <w:tc>
          <w:tcPr>
            <w:tcW w:type="dxa" w:w="2160"/>
            <w:vMerge/>
          </w:tcPr>
          <w:p/>
        </w:tc>
        <w:tc>
          <w:tcPr>
            <w:tcW w:type="dxa" w:w="2160"/>
            <w:vMerge/>
          </w:tcPr>
          <w:p/>
        </w:tc>
        <w:tc>
          <w:tcPr>
            <w:tcW w:type="dxa" w:w="2160"/>
          </w:tcPr>
          <w:p>
            <w:r>
              <w:t>中性</w:t>
            </w:r>
          </w:p>
        </w:tc>
        <w:tc>
          <w:tcPr>
            <w:tcW w:type="dxa" w:w="2160"/>
          </w:tcPr>
          <w:p>
            <w:r>
              <w:t>相对同期相关证券市场代表性指数涨幅介于-10%～10%之间</w:t>
            </w:r>
          </w:p>
        </w:tc>
      </w:tr>
      <w:tr>
        <w:tc>
          <w:tcPr>
            <w:tcW w:type="dxa" w:w="2160"/>
            <w:vMerge/>
          </w:tcPr>
          <w:p/>
        </w:tc>
        <w:tc>
          <w:tcPr>
            <w:tcW w:type="dxa" w:w="2160"/>
            <w:vMerge/>
          </w:tcPr>
          <w:p/>
        </w:tc>
        <w:tc>
          <w:tcPr>
            <w:tcW w:type="dxa" w:w="2160"/>
          </w:tcPr>
          <w:p>
            <w:r>
              <w:t>行业评级 弱于大市</w:t>
            </w:r>
          </w:p>
        </w:tc>
        <w:tc>
          <w:tcPr>
            <w:tcW w:type="dxa" w:w="2160"/>
          </w:tcPr>
          <w:p>
            <w:r>
              <w:t>相对同期相关证券市场代表性指数跌幅10%以上</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4 </w:t>
      </w:r>
    </w:p>
    <w:p>
      <w:pPr>
        <w:ind w:firstLine="360"/>
      </w:pPr>
      <w:r>
        <w:rPr>
          <w:sz w:val="20"/>
        </w:rPr>
        <w:t xml:space="preserve">中信证券 </w:t>
      </w:r>
      <w:r>
        <w:rPr>
          <w:sz w:val="20"/>
        </w:rPr>
        <w:t xml:space="preserve">CITICSECURITIES </w:t>
      </w:r>
    </w:p>
    <w:p>
      <w:pPr>
        <w:ind w:firstLine="360"/>
      </w:pPr>
      <w:r>
        <w:rPr>
          <w:sz w:val="20"/>
        </w:rPr>
        <w:t xml:space="preserve">特别声明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在法律许可的情况下，中信证券可能（1）与本研究报告所提到的公司建立或保持顾问、投资银行或证券服务关系，（2）参与或投资本报告所提到 </w:t>
      </w:r>
      <w:r>
        <w:rPr>
          <w:sz w:val="20"/>
        </w:rPr>
        <w:t xml:space="preserve">的公司的金融交易，及/或持有其证券或其衍生品或进行证券或其衍生品交易，因此，投资者应考虑到中信证券可能存在与本研究报告有潜在利益冲突的 </w:t>
      </w:r>
      <w:r>
        <w:rPr>
          <w:sz w:val="20"/>
        </w:rPr>
        <w:t xml:space="preserve">风险。本研究报告涉及具体公司的披露信息，请访问https:/research.citics.com/disclosure。 </w:t>
      </w:r>
    </w:p>
    <w:p>
      <w:pPr>
        <w:sectPr>
          <w:type w:val="continuous"/>
          <w:pgSz w:w="12240" w:h="15840"/>
          <w:pgMar w:top="1440" w:right="1800" w:bottom="1440" w:left="1800" w:header="720" w:footer="720" w:gutter="0"/>
          <w:cols w:space="720" w:num="1"/>
          <w:docGrid w:linePitch="360"/>
        </w:sectPr>
      </w:pPr>
    </w:p>
    <w:p>
      <w:pPr>
        <w:pStyle w:val="Heading1"/>
      </w:pPr>
      <w:r>
        <w:t>法律主体声明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本研究报告在中华人民共和国（香港、澳门、台湾除外）由中信证券股份有限公司（受中国证券监督管理委员会监管，经营证券业务许可证编号： </w:t>
      </w:r>
      <w:r>
        <w:rPr>
          <w:sz w:val="20"/>
        </w:rPr>
        <w:t xml:space="preserve">Z20374000）分发。本研究报告由下列机构代表中信证券在相应地区分发：在中国香港由CLSALimited（于中国香港注册成立的有限公司）分发；在中 </w:t>
      </w:r>
      <w:r>
        <w:rPr>
          <w:sz w:val="20"/>
        </w:rPr>
        <w:t xml:space="preserve">国台湾由CLSecuritiesTaiwan Co.,Ltd.分发；在澳大利亚由CLSAAustralia PtyLtd.（商业编号：53139 992331/金融服务牌照编号：350159）分发； </w:t>
      </w:r>
      <w:r>
        <w:rPr>
          <w:sz w:val="20"/>
        </w:rPr>
        <w:t xml:space="preserve">在美国由 CLSA（CLSAAmericas,LLC除外）分发；在新加坡由 CLSASingapore PteLtd.（公司注册编号：198703750W）分发；在欧洲经济区由CLSA </w:t>
      </w:r>
      <w:r>
        <w:rPr>
          <w:sz w:val="20"/>
        </w:rPr>
        <w:t xml:space="preserve">Europe BV分发；在英国由 CLSA（UK)分发；在印度由 CLSAIndia PrivateLimited分发（地址：8/F,Dalamal House,Nariman Point,Mumbai 400021； </w:t>
      </w:r>
      <w:r>
        <w:rPr>
          <w:sz w:val="20"/>
        </w:rPr>
        <w:t xml:space="preserve">电话：+91-22-66505050；传真：+91-22-22840271；公司识别号：U67120MH1994PLC083118)；在印度尼西亚由PTCLSA SekuritasIndonesia分 </w:t>
      </w:r>
      <w:r>
        <w:rPr>
          <w:sz w:val="20"/>
        </w:rPr>
        <w:t xml:space="preserve">发；在日本由 CLSA Securities Japan Co.,Ltd.分发；在韩国由 CLSA Securities Korea Ltd.分发；在马来西亚由 CLSA Securities Malaysia Sdn Bhd 分 </w:t>
      </w:r>
      <w:r>
        <w:rPr>
          <w:sz w:val="20"/>
        </w:rPr>
        <w:t xml:space="preserve">发；在菲律宾由 CLSA Philippines Inc.（菲律宾证券交易所及证券投资者保护基金会员）分发；在泰国由 CLSA Securities（Thailand)Limited 分发。 </w:t>
      </w:r>
      <w:r>
        <w:rPr>
          <w:sz w:val="20"/>
        </w:rPr>
        <w:t xml:space="preserve">ca9o </w:t>
      </w:r>
      <w:r>
        <w:rPr>
          <w:sz w:val="20"/>
        </w:rPr>
        <w:t xml:space="preserve">针对不同司法管辖区的声明 </w:t>
      </w:r>
      <w:r>
        <w:rPr>
          <w:sz w:val="20"/>
        </w:rPr>
        <w:t xml:space="preserve">中国大陆：根据中国证券监督管理委员会核发的经营证券业务许可，中信证券股份有限公司的经营范围包括证券投资咨询业务。 </w:t>
      </w:r>
      <w:r>
        <w:rPr>
          <w:sz w:val="20"/>
        </w:rPr>
        <w:t xml:space="preserve">中国香港：本研究报告由CLSALimited分发。本研究报告在香港仅分发给专业投资者（《证券及期货条例》（香港法例第571章）及其下颁布的任何 </w:t>
      </w:r>
      <w:r>
        <w:rPr>
          <w:sz w:val="20"/>
        </w:rPr>
        <w:t xml:space="preserve">规则界定的)，不得分发给零售投资者。就分析或报告引起的或与分析或报告有关的任何事宜，CLSA客户应联系CLSALimited的罗鼎，电话：+8522600 </w:t>
      </w:r>
      <w:r>
        <w:rPr>
          <w:sz w:val="20"/>
        </w:rPr>
        <w:t xml:space="preserve">7233。 </w:t>
      </w:r>
      <w:r>
        <w:rPr>
          <w:sz w:val="20"/>
        </w:rPr>
        <w:t xml:space="preserve">0950 </w:t>
      </w:r>
      <w:r>
        <w:rPr>
          <w:sz w:val="20"/>
        </w:rPr>
        <w:t xml:space="preserve">美国：本研究报告由中信证券制作。本研究报告在美国由CLSA（CLSAAmericas,LLC除外）仅向符合美国《1934年证券交易法》下15a-6规则界定 </w:t>
      </w:r>
      <w:r>
        <w:rPr>
          <w:sz w:val="20"/>
        </w:rPr>
        <w:t xml:space="preserve">且CLSAAmericas,LLC提供服务的“主要美国机构投资者”分发。对身在美国的任何人士发送本研究报告将不被视为对本报告中所评论的证券进行交 </w:t>
      </w:r>
      <w:r>
        <w:rPr>
          <w:sz w:val="20"/>
        </w:rPr>
        <w:t xml:space="preserve">易的建议或对本报告中所述任何观点的背书。任何从中信证券与CLSA获得本研究报告的接收者如果希望在美国交易本报告中提及的任何证券应当联系 </w:t>
      </w:r>
      <w:r>
        <w:rPr>
          <w:sz w:val="20"/>
        </w:rPr>
        <w:t xml:space="preserve">CLSAAmericas,LLC（在美国证券交易委员会注册的经纪交易商），以及CLSA的附属公司。 </w:t>
      </w:r>
      <w:r>
        <w:rPr>
          <w:sz w:val="20"/>
        </w:rPr>
        <w:t xml:space="preserve">新加坡：本研究报告在新加坡由CLSA Singapore PteLtd.，仅向（新加坡《财务顾问规例》界定的）“机构投资者、认可投资者及专业投资者”分发。 </w:t>
      </w:r>
      <w:r>
        <w:rPr>
          <w:sz w:val="20"/>
        </w:rPr>
        <w:t xml:space="preserve">就分析或报告引起的或与分析或报告有关的任何事宜，新加坡的报告收件人应联系CLSA SingaporePteLtd,地址：80RafflesPlace,#18-01,UOBPlaza </w:t>
      </w:r>
      <w:r>
        <w:rPr>
          <w:sz w:val="20"/>
        </w:rPr>
        <w:t xml:space="preserve">1,Singapore 048624，电话：+65 64167888。因您作为机构投资者、认可投资者或专业投资者的身份，就CLSA Singapore PteLtd.可能向您提供的任 </w:t>
      </w:r>
      <w:r>
        <w:rPr>
          <w:sz w:val="20"/>
        </w:rPr>
        <w:t xml:space="preserve">何财务顾问服务，CLSASingaporePteLtd豁免遵守《财务顾问法》（第110章）、《财务顾问规例》以及其下的相关通知和指引（CLSA业务条款的新 </w:t>
      </w:r>
      <w:r>
        <w:rPr>
          <w:sz w:val="20"/>
        </w:rPr>
        <w:t xml:space="preserve">加坡附件中证券交易服务C部分所披露）的某些要求。MCI（P）042/11/2022。 </w:t>
      </w:r>
      <w:r>
        <w:rPr>
          <w:sz w:val="20"/>
        </w:rPr>
        <w:t xml:space="preserve">加拿大：本研究报告由中信证券制作。对身在加拿大的任何人士发送本研究报告将不被视为对本报告中所评论的证券进行交易的建议或对本报告中所载 </w:t>
      </w:r>
      <w:r>
        <w:rPr>
          <w:sz w:val="20"/>
        </w:rPr>
        <w:t xml:space="preserve">任何观点的背书 </w:t>
      </w:r>
      <w:r>
        <w:rPr>
          <w:sz w:val="20"/>
        </w:rPr>
        <w:t xml:space="preserve">英国：本研究报告归属于营销文件，其不是按照旨在提升研究报告独立性的法律要件而撰写，亦不受任何禁止在投资研究报告发布前进行交易的限制。 </w:t>
      </w:r>
      <w:r>
        <w:rPr>
          <w:sz w:val="20"/>
        </w:rPr>
        <w:t xml:space="preserve">本研究报告在英国由CLSA（UK）分发，且针对由相应本地监管规定所界定的在投资方面具有专业经验的人士。涉及到的任何投资活动仅针对此类人 </w:t>
      </w:r>
      <w:r>
        <w:rPr>
          <w:sz w:val="20"/>
        </w:rPr>
        <w:t xml:space="preserve">士。若您不具备投资的专业经验，请勿依赖本研究报告。对于英国分析员编纂的研究资料，其由CLSA（UK）制作并发布。就英国的金融行业准则， </w:t>
      </w:r>
      <w:r>
        <w:rPr>
          <w:sz w:val="20"/>
        </w:rPr>
        <w:t xml:space="preserve">该资料被制作并意图作为实质性研究资料。CLSA（UK）由（英国）金融行为管理局授权并接受其管理。 </w:t>
      </w:r>
      <w:r>
        <w:rPr>
          <w:sz w:val="20"/>
        </w:rPr>
        <w:t xml:space="preserve">欧洲经济区：本研究报告由荷兰金融市场管理局授权并管理的CLSAEuropeBV分发。 </w:t>
      </w:r>
      <w:r>
        <w:rPr>
          <w:sz w:val="20"/>
        </w:rPr>
        <w:t xml:space="preserve">澳大利亚：CLSAAustraliaPtyLtd（“CAPL”）（商业编号：53139992331/金融服务牌照编号：350159）受澳大利亚证券与投资委员会监管，且为澳 </w:t>
      </w:r>
      <w:r>
        <w:rPr>
          <w:sz w:val="20"/>
        </w:rPr>
        <w:t xml:space="preserve">大利亚证券交易所及CHI-X的市场参与主体。本研究报告在澳大利亚由CAPL仅向“批发客户”发布及分发。本研究报告未考虑收件人的具体投资目标、 </w:t>
      </w:r>
      <w:r>
        <w:rPr>
          <w:sz w:val="20"/>
        </w:rPr>
        <w:t xml:space="preserve">财务状况或特定需求。未经CAPL事先书面同意，本研究报告的收件人不得将其分发给任何第三方。本段所称的“批发客户”适用于《公司法（2001)》 </w:t>
      </w:r>
      <w:r>
        <w:rPr>
          <w:sz w:val="20"/>
        </w:rPr>
        <w:t xml:space="preserve">第761G条的规定。CAPL研究覆盖范围包括研究部门管理层不时认为与投资者相关的ASXAllOrdinaries指数成分股、离岸市场上市证券、未上市发 </w:t>
      </w:r>
      <w:r>
        <w:rPr>
          <w:sz w:val="20"/>
        </w:rPr>
        <w:t xml:space="preserve">行人及投资产品。CAPL寻求覆盖各个行业中与其国内及国际投资者相关的公司。 </w:t>
      </w:r>
      <w:r>
        <w:rPr>
          <w:sz w:val="20"/>
        </w:rPr>
        <w:t xml:space="preserve">印度：CLSAIndiaPrivateLimited，成立于1994年11月，为全球机构投资者、养老基金和企业提供股票经纪服务（印度证券交易委员会注册编号： </w:t>
      </w:r>
      <w:r>
        <w:rPr>
          <w:sz w:val="20"/>
        </w:rPr>
        <w:t xml:space="preserve">INZ000001735）、研究服务（印度证券交易委员会注册编号：INH000001113）和商人银行服务（印度证券交易委员会注册编号：INM000010619）。CLSA </w:t>
      </w:r>
      <w:r>
        <w:rPr>
          <w:sz w:val="20"/>
        </w:rPr>
        <w:t xml:space="preserve">及其关联方可能持有标的公司的债务。此外，CLSA及其关联方在过去12个月内可能已从标的公司收取了非投资银行服务和/或非证券相关服务的报酬。 </w:t>
      </w:r>
      <w:r>
        <w:rPr>
          <w:sz w:val="20"/>
        </w:rPr>
        <w:t xml:space="preserve">如需了解CLSAIndia“关联方”的更多详情，请联系Compliance-India@clsa.com。 </w:t>
      </w:r>
      <w:r>
        <w:rPr>
          <w:sz w:val="20"/>
        </w:rPr>
        <w:t xml:space="preserve">未经中信证券事先书面授权，任何人不得以任何目的复制、发送或销售本报告。 </w:t>
      </w:r>
      <w:r>
        <w:rPr>
          <w:sz w:val="20"/>
        </w:rPr>
        <w:t xml:space="preserve">中信证券2024版权所有。保留一切权利。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5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