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09230F" w14:textId="40802CCD" w:rsidR="00561AA9" w:rsidRPr="000A58DC" w:rsidRDefault="00561AA9" w:rsidP="00561AA9">
      <w:pPr>
        <w:pStyle w:val="Cmsor1"/>
      </w:pPr>
      <w:bookmarkStart w:id="0" w:name="_Toc524614048"/>
      <w:bookmarkStart w:id="1" w:name="_Toc525646648"/>
      <w:r>
        <w:t>D</w:t>
      </w:r>
      <w:r w:rsidRPr="000A58DC">
        <w:t xml:space="preserve">escription of the European </w:t>
      </w:r>
      <w:r>
        <w:t>Power M</w:t>
      </w:r>
      <w:r w:rsidRPr="000A58DC">
        <w:t xml:space="preserve">arket </w:t>
      </w:r>
      <w:r>
        <w:t>M</w:t>
      </w:r>
      <w:r w:rsidRPr="000A58DC">
        <w:t>odel</w:t>
      </w:r>
      <w:bookmarkEnd w:id="0"/>
      <w:bookmarkEnd w:id="1"/>
      <w:r w:rsidR="0077105C">
        <w:t xml:space="preserve"> (EPMM)</w:t>
      </w:r>
    </w:p>
    <w:p w14:paraId="5D92B982" w14:textId="77777777" w:rsidR="00561AA9" w:rsidRDefault="00561AA9" w:rsidP="00561AA9">
      <w:pPr>
        <w:pStyle w:val="Cmsor2"/>
        <w:rPr>
          <w:rFonts w:cs="Times New Roman"/>
        </w:rPr>
      </w:pPr>
      <w:bookmarkStart w:id="2" w:name="_Toc534813873"/>
      <w:r w:rsidRPr="000A58DC">
        <w:rPr>
          <w:rFonts w:cs="Times New Roman"/>
        </w:rPr>
        <w:t>General description</w:t>
      </w:r>
      <w:bookmarkEnd w:id="2"/>
    </w:p>
    <w:p w14:paraId="60E39FDE" w14:textId="1E6AB9FC" w:rsidR="00561AA9" w:rsidRPr="00E00F10" w:rsidRDefault="00561AA9" w:rsidP="00561AA9">
      <w:pPr>
        <w:rPr>
          <w:rStyle w:val="eop"/>
          <w:rFonts w:cs="Times New Roman"/>
          <w:szCs w:val="24"/>
          <w:lang w:val="en-GB"/>
        </w:rPr>
      </w:pPr>
      <w:r w:rsidRPr="00E00F10">
        <w:rPr>
          <w:rStyle w:val="normaltextrun"/>
          <w:rFonts w:cs="Times New Roman"/>
          <w:szCs w:val="24"/>
          <w:lang w:val="en-GB"/>
        </w:rPr>
        <w:t xml:space="preserve">The EPMM is a unit commitment and economic dispatch model covering the electricity systems of 41 European countries. It simultaneously determines the equilibrium values of the wholesale electricity and reserve markets for each hour and market, </w:t>
      </w:r>
      <w:proofErr w:type="gramStart"/>
      <w:r w:rsidRPr="00E00F10">
        <w:rPr>
          <w:rStyle w:val="normaltextrun"/>
          <w:rFonts w:cs="Times New Roman"/>
          <w:szCs w:val="24"/>
          <w:lang w:val="en-GB"/>
        </w:rPr>
        <w:t>taking into account</w:t>
      </w:r>
      <w:proofErr w:type="gramEnd"/>
      <w:r w:rsidRPr="00E00F10">
        <w:rPr>
          <w:rStyle w:val="normaltextrun"/>
          <w:rFonts w:cs="Times New Roman"/>
          <w:szCs w:val="24"/>
          <w:lang w:val="en-GB"/>
        </w:rPr>
        <w:t xml:space="preserve"> the projected weather-dependent renewable generation, the electricity demand, the reserve requirements for each </w:t>
      </w:r>
      <w:r w:rsidR="00F20082" w:rsidRPr="00E00F10">
        <w:rPr>
          <w:rStyle w:val="normaltextrun"/>
          <w:rFonts w:cs="Times New Roman"/>
          <w:szCs w:val="24"/>
          <w:lang w:val="en-GB"/>
        </w:rPr>
        <w:t>country</w:t>
      </w:r>
      <w:r w:rsidRPr="00E00F10">
        <w:rPr>
          <w:rStyle w:val="normaltextrun"/>
          <w:rFonts w:cs="Times New Roman"/>
          <w:szCs w:val="24"/>
          <w:lang w:val="en-GB"/>
        </w:rPr>
        <w:t xml:space="preserve">, and the technological constraints and costs (minimum operating and offtime, minimum / maximum load level, start-up / shut-down costs, variable costs of generation) for electricity generation and transmission. Using these inputs, the model predicts the operating status of the power plants every hour of </w:t>
      </w:r>
      <w:r w:rsidR="00F20082">
        <w:rPr>
          <w:rStyle w:val="normaltextrun"/>
          <w:rFonts w:cs="Times New Roman"/>
          <w:szCs w:val="24"/>
          <w:lang w:val="en-GB"/>
        </w:rPr>
        <w:t>the modelled</w:t>
      </w:r>
      <w:r w:rsidRPr="00E00F10">
        <w:rPr>
          <w:rStyle w:val="normaltextrun"/>
          <w:rFonts w:cs="Times New Roman"/>
          <w:szCs w:val="24"/>
          <w:lang w:val="en-GB"/>
        </w:rPr>
        <w:t xml:space="preserve"> week (covering almost 3,500 power plants), the volume of generation at the operating units, the amount of capacities set aside for upward-regulation and downward-regulation, the operation of reservoir hydropower plants, the flows on all cross-border interconnectors, and the wholesale market price of electricity and the price of the upward and downward reserve capacities in each country.</w:t>
      </w:r>
    </w:p>
    <w:p w14:paraId="1778FA37" w14:textId="77777777" w:rsidR="00561AA9" w:rsidRPr="000A58DC" w:rsidRDefault="00561AA9" w:rsidP="00561AA9">
      <w:pPr>
        <w:pStyle w:val="paragraph"/>
        <w:spacing w:before="0" w:beforeAutospacing="0" w:after="0" w:afterAutospacing="0"/>
        <w:textAlignment w:val="baseline"/>
        <w:rPr>
          <w:rFonts w:ascii="Segoe UI Black" w:hAnsi="Segoe UI Black"/>
          <w:sz w:val="26"/>
          <w:szCs w:val="26"/>
          <w:lang w:val="en-GB"/>
        </w:rPr>
      </w:pPr>
      <w:r w:rsidRPr="009C7A24">
        <w:rPr>
          <w:noProof/>
        </w:rPr>
        <w:drawing>
          <wp:inline distT="0" distB="0" distL="0" distR="0" wp14:anchorId="19FDB69D" wp14:editId="35537536">
            <wp:extent cx="5760720" cy="276606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2766060"/>
                    </a:xfrm>
                    <a:prstGeom prst="rect">
                      <a:avLst/>
                    </a:prstGeom>
                    <a:noFill/>
                    <a:ln>
                      <a:noFill/>
                    </a:ln>
                  </pic:spPr>
                </pic:pic>
              </a:graphicData>
            </a:graphic>
          </wp:inline>
        </w:drawing>
      </w:r>
    </w:p>
    <w:p w14:paraId="1723DF68" w14:textId="3A84C83C" w:rsidR="00561AA9" w:rsidRPr="000A58DC" w:rsidRDefault="00561AA9" w:rsidP="00561AA9">
      <w:pPr>
        <w:rPr>
          <w:rFonts w:cs="Times New Roman"/>
          <w:lang w:val="en-GB"/>
        </w:rPr>
      </w:pPr>
      <w:r w:rsidRPr="000A58DC">
        <w:rPr>
          <w:rFonts w:cs="Times New Roman"/>
          <w:lang w:val="en-GB"/>
        </w:rPr>
        <w:t xml:space="preserve">There are 41 </w:t>
      </w:r>
      <w:r>
        <w:rPr>
          <w:rFonts w:cs="Times New Roman"/>
          <w:lang w:val="en-GB"/>
        </w:rPr>
        <w:t xml:space="preserve">countries </w:t>
      </w:r>
      <w:r w:rsidRPr="000A58DC">
        <w:rPr>
          <w:rFonts w:cs="Times New Roman"/>
          <w:lang w:val="en-GB"/>
        </w:rPr>
        <w:t>modelled in E</w:t>
      </w:r>
      <w:r>
        <w:rPr>
          <w:rFonts w:cs="Times New Roman"/>
          <w:lang w:val="en-GB"/>
        </w:rPr>
        <w:t>P</w:t>
      </w:r>
      <w:r w:rsidRPr="000A58DC">
        <w:rPr>
          <w:rFonts w:cs="Times New Roman"/>
          <w:lang w:val="en-GB"/>
        </w:rPr>
        <w:t>MM: in</w:t>
      </w:r>
      <w:r w:rsidRPr="000A58DC">
        <w:rPr>
          <w:lang w:val="en-GB"/>
        </w:rPr>
        <w:t xml:space="preserve"> these countries (indicated with an orange background on the following figure) prices are derived from the demand-supply balance, while on outside markets (indicated with yellow background) exogenous prices</w:t>
      </w:r>
      <w:r w:rsidR="009B7FF0">
        <w:rPr>
          <w:lang w:val="en-GB"/>
        </w:rPr>
        <w:t xml:space="preserve"> are assumed</w:t>
      </w:r>
      <w:r w:rsidRPr="000A58DC">
        <w:rPr>
          <w:lang w:val="en-GB"/>
        </w:rPr>
        <w:t xml:space="preserve">. </w:t>
      </w:r>
    </w:p>
    <w:p w14:paraId="563E60F0" w14:textId="77777777" w:rsidR="00561AA9" w:rsidRPr="000A58DC" w:rsidRDefault="00561AA9" w:rsidP="00561AA9">
      <w:pPr>
        <w:pStyle w:val="Kpalrs"/>
        <w:jc w:val="center"/>
        <w:rPr>
          <w:rFonts w:cs="Times New Roman"/>
        </w:rPr>
      </w:pPr>
      <w:bookmarkStart w:id="3" w:name="_Toc534813898"/>
      <w:r w:rsidRPr="000A58DC">
        <w:lastRenderedPageBreak/>
        <w:t xml:space="preserve">Figure </w:t>
      </w:r>
      <w:r w:rsidRPr="000A58DC">
        <w:fldChar w:fldCharType="begin"/>
      </w:r>
      <w:r w:rsidRPr="000A58DC">
        <w:instrText xml:space="preserve"> SEQ Figure \* ARABIC </w:instrText>
      </w:r>
      <w:r w:rsidRPr="000A58DC">
        <w:fldChar w:fldCharType="separate"/>
      </w:r>
      <w:r>
        <w:rPr>
          <w:noProof/>
        </w:rPr>
        <w:t>1</w:t>
      </w:r>
      <w:r w:rsidRPr="000A58DC">
        <w:fldChar w:fldCharType="end"/>
      </w:r>
      <w:r w:rsidRPr="000A58DC">
        <w:t>: Countries modelled in E</w:t>
      </w:r>
      <w:r>
        <w:t>P</w:t>
      </w:r>
      <w:r w:rsidRPr="000A58DC">
        <w:t>MM</w:t>
      </w:r>
      <w:bookmarkEnd w:id="3"/>
    </w:p>
    <w:p w14:paraId="3219ADF5" w14:textId="77777777" w:rsidR="00561AA9" w:rsidRPr="000A58DC" w:rsidRDefault="00561AA9" w:rsidP="00561AA9">
      <w:pPr>
        <w:jc w:val="center"/>
        <w:rPr>
          <w:rFonts w:cs="Times New Roman"/>
          <w:lang w:val="en-GB"/>
        </w:rPr>
      </w:pPr>
      <w:r w:rsidRPr="000A58DC">
        <w:rPr>
          <w:rFonts w:cs="Times New Roman"/>
          <w:noProof/>
          <w:lang w:val="en-GB"/>
        </w:rPr>
        <w:drawing>
          <wp:inline distT="0" distB="0" distL="0" distR="0" wp14:anchorId="5DC459BA" wp14:editId="50B32EDA">
            <wp:extent cx="4759325" cy="3794125"/>
            <wp:effectExtent l="0" t="0" r="3175" b="0"/>
            <wp:docPr id="6153" name="Kép 6153">
              <a:extLst xmlns:a="http://schemas.openxmlformats.org/drawingml/2006/main">
                <a:ext uri="{FF2B5EF4-FFF2-40B4-BE49-F238E27FC236}">
                  <a16:creationId xmlns:a16="http://schemas.microsoft.com/office/drawing/2014/main" id="{C519516A-DA1B-4770-B926-674AD64D66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3" name="Kép 1">
                      <a:extLst>
                        <a:ext uri="{FF2B5EF4-FFF2-40B4-BE49-F238E27FC236}">
                          <a16:creationId xmlns:a16="http://schemas.microsoft.com/office/drawing/2014/main" id="{C519516A-DA1B-4770-B926-674AD64D6685}"/>
                        </a:ext>
                      </a:extLst>
                    </pic:cNvPr>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59325" cy="3794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1E335085" w14:textId="77777777" w:rsidR="00561AA9" w:rsidRPr="000A58DC" w:rsidRDefault="00561AA9" w:rsidP="00561AA9">
      <w:pPr>
        <w:rPr>
          <w:lang w:val="en-GB"/>
        </w:rPr>
      </w:pPr>
      <w:r w:rsidRPr="000A58DC">
        <w:rPr>
          <w:lang w:val="en-GB"/>
        </w:rPr>
        <w:t>There are three types of market participants in the model: producers, consumers, and traders. All of them behave in a price-taking manner: they take the prevailing market price as given and assume that their actions have a negligible effect on this price.</w:t>
      </w:r>
    </w:p>
    <w:p w14:paraId="31A4C0DB" w14:textId="26A2807B" w:rsidR="00561AA9" w:rsidRPr="000A58DC" w:rsidRDefault="00561AA9" w:rsidP="00561AA9">
      <w:pPr>
        <w:rPr>
          <w:lang w:val="en-GB"/>
        </w:rPr>
      </w:pPr>
      <w:r w:rsidRPr="000A58DC">
        <w:rPr>
          <w:lang w:val="en-GB"/>
        </w:rPr>
        <w:t>The E</w:t>
      </w:r>
      <w:r>
        <w:rPr>
          <w:lang w:val="en-GB"/>
        </w:rPr>
        <w:t>P</w:t>
      </w:r>
      <w:r w:rsidRPr="000A58DC">
        <w:rPr>
          <w:lang w:val="en-GB"/>
        </w:rPr>
        <w:t>MM models 3</w:t>
      </w:r>
      <w:r>
        <w:rPr>
          <w:lang w:val="en-GB"/>
        </w:rPr>
        <w:t>5</w:t>
      </w:r>
      <w:r w:rsidRPr="000A58DC">
        <w:rPr>
          <w:lang w:val="en-GB"/>
        </w:rPr>
        <w:t xml:space="preserve">00 power plant units operated with 12 different fuels: natural gas, coal, lignite, heavy fuel oil (HFO), light fuel oil (LFO), nuclear, biomass, geothermal, hydro, wind, solar and tide and wave. Each plant </w:t>
      </w:r>
      <w:r w:rsidR="009B7FF0">
        <w:rPr>
          <w:lang w:val="en-GB"/>
        </w:rPr>
        <w:t>is characterised with</w:t>
      </w:r>
      <w:r w:rsidRPr="000A58DC">
        <w:rPr>
          <w:lang w:val="en-GB"/>
        </w:rPr>
        <w:t xml:space="preserve"> a specific marginal cost of production, which is constant at the unit level. In addition, generation capacity is constrained at the level of available capacity.</w:t>
      </w:r>
    </w:p>
    <w:p w14:paraId="1887506D" w14:textId="77777777" w:rsidR="00561AA9" w:rsidRPr="000A58DC" w:rsidRDefault="00561AA9" w:rsidP="00561AA9">
      <w:pPr>
        <w:rPr>
          <w:lang w:val="en-GB"/>
        </w:rPr>
      </w:pPr>
      <w:r w:rsidRPr="000A58DC">
        <w:rPr>
          <w:lang w:val="en-GB"/>
        </w:rPr>
        <w:t>Power flow is ensured by 1</w:t>
      </w:r>
      <w:r>
        <w:rPr>
          <w:lang w:val="en-GB"/>
        </w:rPr>
        <w:t>10</w:t>
      </w:r>
      <w:r w:rsidRPr="000A58DC">
        <w:rPr>
          <w:lang w:val="en-GB"/>
        </w:rPr>
        <w:t xml:space="preserve"> interconnectors between the countries, where each country is treated as a single node, thus no domestic power system constraint is </w:t>
      </w:r>
      <w:proofErr w:type="gramStart"/>
      <w:r w:rsidRPr="000A58DC">
        <w:rPr>
          <w:lang w:val="en-GB"/>
        </w:rPr>
        <w:t>taken into account</w:t>
      </w:r>
      <w:proofErr w:type="gramEnd"/>
      <w:r w:rsidRPr="000A58DC">
        <w:rPr>
          <w:lang w:val="en-GB"/>
        </w:rPr>
        <w:t>. NTC values are used to indicate trading possibilities, seasonal differences are included in the modelling based on historical data from ENTSO-E Transparency Platform. Future investments are assumed based on data from ENTSO-E’s latest Ten-Year Network Development Plan (TYNDP).</w:t>
      </w:r>
    </w:p>
    <w:p w14:paraId="1A252849" w14:textId="77777777" w:rsidR="00561AA9" w:rsidRPr="000A58DC" w:rsidRDefault="00561AA9" w:rsidP="00561AA9">
      <w:pPr>
        <w:rPr>
          <w:lang w:val="en-GB"/>
        </w:rPr>
      </w:pPr>
      <w:r w:rsidRPr="000A58DC">
        <w:rPr>
          <w:lang w:val="en-GB"/>
        </w:rPr>
        <w:t>Consumers are represented in the model in an aggregated way: by different price-sensitive demand curves for each modelled market. The inverse relationship between prices and the quantity consumed is approximated by a downward sloping linear function. Traders connect the production and consumption sides of a market, through exporting electricity to more expensive countries from cheaper ones.</w:t>
      </w:r>
    </w:p>
    <w:p w14:paraId="1E874553" w14:textId="77777777" w:rsidR="00561AA9" w:rsidRPr="000A58DC" w:rsidRDefault="00561AA9" w:rsidP="00561AA9">
      <w:pPr>
        <w:pStyle w:val="Kpalrs"/>
        <w:jc w:val="center"/>
      </w:pPr>
      <w:bookmarkStart w:id="4" w:name="_Toc534813899"/>
      <w:r w:rsidRPr="000A58DC">
        <w:lastRenderedPageBreak/>
        <w:t xml:space="preserve">Figure </w:t>
      </w:r>
      <w:r w:rsidRPr="000A58DC">
        <w:fldChar w:fldCharType="begin"/>
      </w:r>
      <w:r w:rsidRPr="000A58DC">
        <w:instrText xml:space="preserve"> SEQ Figure \* ARABIC </w:instrText>
      </w:r>
      <w:r w:rsidRPr="000A58DC">
        <w:fldChar w:fldCharType="separate"/>
      </w:r>
      <w:r>
        <w:rPr>
          <w:noProof/>
        </w:rPr>
        <w:t>2</w:t>
      </w:r>
      <w:r w:rsidRPr="000A58DC">
        <w:fldChar w:fldCharType="end"/>
      </w:r>
      <w:r w:rsidRPr="000A58DC">
        <w:t>: Functioning of the model</w:t>
      </w:r>
      <w:bookmarkEnd w:id="4"/>
    </w:p>
    <w:p w14:paraId="467B3B99" w14:textId="77777777" w:rsidR="00561AA9" w:rsidRPr="000A58DC" w:rsidRDefault="00561AA9" w:rsidP="00561AA9">
      <w:pPr>
        <w:jc w:val="center"/>
        <w:rPr>
          <w:lang w:val="en-GB"/>
        </w:rPr>
      </w:pPr>
      <w:r w:rsidRPr="00E00F10">
        <w:rPr>
          <w:noProof/>
        </w:rPr>
        <w:drawing>
          <wp:inline distT="0" distB="0" distL="0" distR="0" wp14:anchorId="05194BD2" wp14:editId="367E7CF9">
            <wp:extent cx="4343400" cy="367665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43400" cy="3676650"/>
                    </a:xfrm>
                    <a:prstGeom prst="rect">
                      <a:avLst/>
                    </a:prstGeom>
                    <a:noFill/>
                    <a:ln>
                      <a:noFill/>
                    </a:ln>
                  </pic:spPr>
                </pic:pic>
              </a:graphicData>
            </a:graphic>
          </wp:inline>
        </w:drawing>
      </w:r>
    </w:p>
    <w:p w14:paraId="00AA2A23" w14:textId="00435F0F" w:rsidR="00561AA9" w:rsidRPr="000A58DC" w:rsidRDefault="009B7FF0" w:rsidP="00561AA9">
      <w:pPr>
        <w:rPr>
          <w:lang w:val="en-GB"/>
        </w:rPr>
      </w:pPr>
      <w:r>
        <w:rPr>
          <w:lang w:val="en-GB"/>
        </w:rPr>
        <w:t>M</w:t>
      </w:r>
      <w:r w:rsidR="00561AA9" w:rsidRPr="000A58DC">
        <w:rPr>
          <w:lang w:val="en-GB"/>
        </w:rPr>
        <w:t>erit order curves are calculated for each market</w:t>
      </w:r>
      <w:r>
        <w:rPr>
          <w:lang w:val="en-GB"/>
        </w:rPr>
        <w:t>,</w:t>
      </w:r>
      <w:r w:rsidRPr="009B7FF0">
        <w:rPr>
          <w:lang w:val="en-GB"/>
        </w:rPr>
        <w:t xml:space="preserve"> </w:t>
      </w:r>
      <w:proofErr w:type="gramStart"/>
      <w:r>
        <w:rPr>
          <w:lang w:val="en-GB"/>
        </w:rPr>
        <w:t>t</w:t>
      </w:r>
      <w:r w:rsidRPr="000A58DC">
        <w:rPr>
          <w:lang w:val="en-GB"/>
        </w:rPr>
        <w:t>aking into account</w:t>
      </w:r>
      <w:proofErr w:type="gramEnd"/>
      <w:r w:rsidRPr="000A58DC">
        <w:rPr>
          <w:lang w:val="en-GB"/>
        </w:rPr>
        <w:t xml:space="preserve"> the short-term marginal cost for all available power plant units</w:t>
      </w:r>
      <w:r w:rsidR="00561AA9" w:rsidRPr="000A58DC">
        <w:rPr>
          <w:lang w:val="en-GB"/>
        </w:rPr>
        <w:t xml:space="preserve">. </w:t>
      </w:r>
      <w:r>
        <w:rPr>
          <w:lang w:val="en-GB"/>
        </w:rPr>
        <w:t>Using</w:t>
      </w:r>
      <w:r w:rsidR="00561AA9" w:rsidRPr="000A58DC">
        <w:rPr>
          <w:lang w:val="en-GB"/>
        </w:rPr>
        <w:t xml:space="preserve"> the demand curve and international trade</w:t>
      </w:r>
      <w:r>
        <w:rPr>
          <w:lang w:val="en-GB"/>
        </w:rPr>
        <w:t xml:space="preserve"> constraints,</w:t>
      </w:r>
      <w:r w:rsidR="00561AA9" w:rsidRPr="000A58DC">
        <w:rPr>
          <w:lang w:val="en-GB"/>
        </w:rPr>
        <w:t xml:space="preserve"> all input parameters are set. </w:t>
      </w:r>
      <w:r>
        <w:rPr>
          <w:lang w:val="en-GB"/>
        </w:rPr>
        <w:t>T</w:t>
      </w:r>
      <w:r w:rsidR="00561AA9" w:rsidRPr="000A58DC">
        <w:rPr>
          <w:lang w:val="en-GB"/>
        </w:rPr>
        <w:t xml:space="preserve">he model </w:t>
      </w:r>
      <w:r>
        <w:rPr>
          <w:lang w:val="en-GB"/>
        </w:rPr>
        <w:t xml:space="preserve">then </w:t>
      </w:r>
      <w:r w:rsidR="00561AA9">
        <w:rPr>
          <w:lang w:val="en-GB"/>
        </w:rPr>
        <w:t>maximize</w:t>
      </w:r>
      <w:r>
        <w:rPr>
          <w:lang w:val="en-GB"/>
        </w:rPr>
        <w:t>s</w:t>
      </w:r>
      <w:r w:rsidR="00561AA9">
        <w:rPr>
          <w:lang w:val="en-GB"/>
        </w:rPr>
        <w:t xml:space="preserve"> the total welfare of </w:t>
      </w:r>
      <w:r>
        <w:rPr>
          <w:lang w:val="en-GB"/>
        </w:rPr>
        <w:t xml:space="preserve">all </w:t>
      </w:r>
      <w:r w:rsidR="00561AA9">
        <w:rPr>
          <w:lang w:val="en-GB"/>
        </w:rPr>
        <w:t xml:space="preserve">the </w:t>
      </w:r>
      <w:r>
        <w:rPr>
          <w:lang w:val="en-GB"/>
        </w:rPr>
        <w:t>covered</w:t>
      </w:r>
      <w:r w:rsidR="00561AA9">
        <w:rPr>
          <w:lang w:val="en-GB"/>
        </w:rPr>
        <w:t xml:space="preserve"> countries</w:t>
      </w:r>
      <w:r w:rsidR="00561AA9" w:rsidRPr="000A58DC">
        <w:rPr>
          <w:lang w:val="en-GB"/>
        </w:rPr>
        <w:t>. The model provides the equilibrium (wholesale) electricity prices for each market, the trade on each interconnector and the production of each power plant unit as output.</w:t>
      </w:r>
    </w:p>
    <w:p w14:paraId="1B1F341E" w14:textId="77777777" w:rsidR="00561AA9" w:rsidRPr="000A58DC" w:rsidRDefault="00561AA9" w:rsidP="00561AA9">
      <w:pPr>
        <w:pStyle w:val="Cmsor2"/>
        <w:rPr>
          <w:rFonts w:cs="Times New Roman"/>
        </w:rPr>
      </w:pPr>
      <w:bookmarkStart w:id="5" w:name="_Toc534813874"/>
      <w:r w:rsidRPr="000A58DC">
        <w:rPr>
          <w:rFonts w:cs="Times New Roman"/>
        </w:rPr>
        <w:t>Supply side of the model</w:t>
      </w:r>
      <w:bookmarkEnd w:id="5"/>
    </w:p>
    <w:p w14:paraId="171F2D9B" w14:textId="2E6FE837" w:rsidR="00561AA9" w:rsidRPr="000A58DC" w:rsidRDefault="009B7FF0" w:rsidP="00561AA9">
      <w:pPr>
        <w:rPr>
          <w:rFonts w:cs="Times New Roman"/>
          <w:lang w:val="en-GB"/>
        </w:rPr>
      </w:pPr>
      <w:r>
        <w:rPr>
          <w:rFonts w:cs="Times New Roman"/>
          <w:lang w:val="en-GB"/>
        </w:rPr>
        <w:t>T</w:t>
      </w:r>
      <w:r w:rsidR="00561AA9" w:rsidRPr="000A58DC">
        <w:rPr>
          <w:rFonts w:cs="Times New Roman"/>
          <w:lang w:val="en-GB"/>
        </w:rPr>
        <w:t xml:space="preserve">he following figure </w:t>
      </w:r>
      <w:r>
        <w:rPr>
          <w:rFonts w:cs="Times New Roman"/>
          <w:lang w:val="en-GB"/>
        </w:rPr>
        <w:t xml:space="preserve">presents the </w:t>
      </w:r>
      <w:r w:rsidR="00561AA9" w:rsidRPr="000A58DC">
        <w:rPr>
          <w:rFonts w:cs="Times New Roman"/>
          <w:lang w:val="en-GB"/>
        </w:rPr>
        <w:t xml:space="preserve">methodology for </w:t>
      </w:r>
      <w:r>
        <w:rPr>
          <w:rFonts w:cs="Times New Roman"/>
          <w:lang w:val="en-GB"/>
        </w:rPr>
        <w:t xml:space="preserve">calculating </w:t>
      </w:r>
      <w:r w:rsidR="00561AA9" w:rsidRPr="000A58DC">
        <w:rPr>
          <w:rFonts w:cs="Times New Roman"/>
          <w:lang w:val="en-GB"/>
        </w:rPr>
        <w:t xml:space="preserve">marginal cost </w:t>
      </w:r>
      <w:r>
        <w:rPr>
          <w:rFonts w:cs="Times New Roman"/>
          <w:lang w:val="en-GB"/>
        </w:rPr>
        <w:t>of</w:t>
      </w:r>
      <w:r w:rsidR="00561AA9" w:rsidRPr="000A58DC">
        <w:rPr>
          <w:rFonts w:cs="Times New Roman"/>
          <w:lang w:val="en-GB"/>
        </w:rPr>
        <w:t xml:space="preserve"> power plant units. </w:t>
      </w:r>
      <w:r w:rsidR="00070C42">
        <w:rPr>
          <w:rFonts w:cs="Times New Roman"/>
          <w:lang w:val="en-GB"/>
        </w:rPr>
        <w:t>T</w:t>
      </w:r>
      <w:r w:rsidR="00561AA9" w:rsidRPr="000A58DC">
        <w:rPr>
          <w:rFonts w:cs="Times New Roman"/>
          <w:lang w:val="en-GB"/>
        </w:rPr>
        <w:t>he supply curve is formed</w:t>
      </w:r>
      <w:r w:rsidR="00070C42">
        <w:rPr>
          <w:rFonts w:cs="Times New Roman"/>
          <w:lang w:val="en-GB"/>
        </w:rPr>
        <w:t xml:space="preserve"> under a perfect competition </w:t>
      </w:r>
      <w:r w:rsidR="00F20082">
        <w:rPr>
          <w:rFonts w:cs="Times New Roman"/>
          <w:lang w:val="en-GB"/>
        </w:rPr>
        <w:t>assumption;</w:t>
      </w:r>
      <w:r w:rsidR="00070C42">
        <w:rPr>
          <w:rFonts w:cs="Times New Roman"/>
          <w:lang w:val="en-GB"/>
        </w:rPr>
        <w:t xml:space="preserve"> </w:t>
      </w:r>
      <w:proofErr w:type="gramStart"/>
      <w:r w:rsidR="00070C42">
        <w:rPr>
          <w:rFonts w:cs="Times New Roman"/>
          <w:lang w:val="en-GB"/>
        </w:rPr>
        <w:t>therefore</w:t>
      </w:r>
      <w:proofErr w:type="gramEnd"/>
      <w:r w:rsidR="00561AA9" w:rsidRPr="000A58DC">
        <w:rPr>
          <w:rFonts w:cs="Times New Roman"/>
          <w:lang w:val="en-GB"/>
        </w:rPr>
        <w:t xml:space="preserve"> all units provide their production on a marginal cost basis. T</w:t>
      </w:r>
      <w:r w:rsidR="00070C42">
        <w:rPr>
          <w:rFonts w:cs="Times New Roman"/>
          <w:lang w:val="en-GB"/>
        </w:rPr>
        <w:t>he</w:t>
      </w:r>
      <w:r w:rsidR="00561AA9" w:rsidRPr="000A58DC">
        <w:rPr>
          <w:rFonts w:cs="Times New Roman"/>
          <w:lang w:val="en-GB"/>
        </w:rPr>
        <w:t xml:space="preserve"> marginal cost</w:t>
      </w:r>
      <w:r w:rsidR="00070C42">
        <w:rPr>
          <w:rFonts w:cs="Times New Roman"/>
          <w:lang w:val="en-GB"/>
        </w:rPr>
        <w:t xml:space="preserve"> is calculated by summing</w:t>
      </w:r>
      <w:r w:rsidR="00561AA9" w:rsidRPr="000A58DC">
        <w:rPr>
          <w:rFonts w:cs="Times New Roman"/>
          <w:lang w:val="en-GB"/>
        </w:rPr>
        <w:t xml:space="preserve"> CO</w:t>
      </w:r>
      <w:r w:rsidR="00561AA9" w:rsidRPr="000A58DC">
        <w:rPr>
          <w:rFonts w:cs="Times New Roman"/>
          <w:vertAlign w:val="subscript"/>
          <w:lang w:val="en-GB"/>
        </w:rPr>
        <w:t>2</w:t>
      </w:r>
      <w:r w:rsidR="00561AA9" w:rsidRPr="000A58DC">
        <w:rPr>
          <w:rFonts w:cs="Times New Roman"/>
          <w:lang w:val="en-GB"/>
        </w:rPr>
        <w:t xml:space="preserve"> emission cost, energy tax (if any), fuel cost and variable OPEX.</w:t>
      </w:r>
    </w:p>
    <w:p w14:paraId="222555F6" w14:textId="77777777" w:rsidR="00561AA9" w:rsidRPr="000A58DC" w:rsidRDefault="00561AA9" w:rsidP="00561AA9">
      <w:pPr>
        <w:pStyle w:val="Kpalrs"/>
        <w:jc w:val="center"/>
        <w:rPr>
          <w:rFonts w:cs="Times New Roman"/>
        </w:rPr>
      </w:pPr>
      <w:bookmarkStart w:id="6" w:name="_Toc534813900"/>
      <w:r w:rsidRPr="000A58DC">
        <w:lastRenderedPageBreak/>
        <w:t xml:space="preserve">Figure </w:t>
      </w:r>
      <w:r w:rsidRPr="000A58DC">
        <w:fldChar w:fldCharType="begin"/>
      </w:r>
      <w:r w:rsidRPr="000A58DC">
        <w:instrText xml:space="preserve"> SEQ Figure \* ARABIC </w:instrText>
      </w:r>
      <w:r w:rsidRPr="000A58DC">
        <w:fldChar w:fldCharType="separate"/>
      </w:r>
      <w:r>
        <w:rPr>
          <w:noProof/>
        </w:rPr>
        <w:t>3</w:t>
      </w:r>
      <w:r w:rsidRPr="000A58DC">
        <w:fldChar w:fldCharType="end"/>
      </w:r>
      <w:r w:rsidRPr="000A58DC">
        <w:t>: Methodology for marginal cost calculation</w:t>
      </w:r>
      <w:bookmarkEnd w:id="6"/>
    </w:p>
    <w:p w14:paraId="0D5F7482" w14:textId="77777777" w:rsidR="00561AA9" w:rsidRPr="000A58DC" w:rsidRDefault="00561AA9" w:rsidP="00561AA9">
      <w:pPr>
        <w:jc w:val="center"/>
        <w:rPr>
          <w:rFonts w:cs="Times New Roman"/>
          <w:lang w:val="en-GB"/>
        </w:rPr>
      </w:pPr>
      <w:r w:rsidRPr="000A58DC">
        <w:rPr>
          <w:rFonts w:cs="Times New Roman"/>
          <w:noProof/>
          <w:lang w:val="en-GB"/>
        </w:rPr>
        <w:drawing>
          <wp:inline distT="0" distB="0" distL="0" distR="0" wp14:anchorId="2D8D3373" wp14:editId="1CFB9833">
            <wp:extent cx="4504946" cy="3467100"/>
            <wp:effectExtent l="0" t="0" r="0" b="0"/>
            <wp:docPr id="11268" name="Kép 11268">
              <a:extLst xmlns:a="http://schemas.openxmlformats.org/drawingml/2006/main">
                <a:ext uri="{FF2B5EF4-FFF2-40B4-BE49-F238E27FC236}">
                  <a16:creationId xmlns:a16="http://schemas.microsoft.com/office/drawing/2014/main" id="{EF8BDEC3-C245-4FD6-9F13-A2966B0DF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8" name="Picture 3">
                      <a:extLst>
                        <a:ext uri="{FF2B5EF4-FFF2-40B4-BE49-F238E27FC236}">
                          <a16:creationId xmlns:a16="http://schemas.microsoft.com/office/drawing/2014/main" id="{EF8BDEC3-C245-4FD6-9F13-A2966B0DFB1C}"/>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7546" cy="3469101"/>
                    </a:xfrm>
                    <a:prstGeom prst="rect">
                      <a:avLst/>
                    </a:prstGeom>
                    <a:noFill/>
                    <a:ln>
                      <a:noFill/>
                    </a:ln>
                  </pic:spPr>
                </pic:pic>
              </a:graphicData>
            </a:graphic>
          </wp:inline>
        </w:drawing>
      </w:r>
    </w:p>
    <w:p w14:paraId="2205488D" w14:textId="4080F499" w:rsidR="00561AA9" w:rsidRPr="000A58DC" w:rsidRDefault="00561AA9" w:rsidP="00561AA9">
      <w:pPr>
        <w:rPr>
          <w:lang w:val="en-GB"/>
        </w:rPr>
      </w:pPr>
      <w:r w:rsidRPr="000A58DC">
        <w:rPr>
          <w:lang w:val="en-GB"/>
        </w:rPr>
        <w:t>For all given technologies (e.g. OCGT, CCGT, thermal) commissioning date defines the efficiency, the self-consumption and the variable OPEX cost for all units. Using the fuel prices as an input</w:t>
      </w:r>
      <w:r w:rsidR="00070C42">
        <w:rPr>
          <w:lang w:val="en-GB"/>
        </w:rPr>
        <w:t>,</w:t>
      </w:r>
      <w:r w:rsidRPr="000A58DC">
        <w:rPr>
          <w:lang w:val="en-GB"/>
        </w:rPr>
        <w:t xml:space="preserve"> total fuel costs are calculated </w:t>
      </w:r>
      <w:proofErr w:type="gramStart"/>
      <w:r w:rsidRPr="000A58DC">
        <w:rPr>
          <w:lang w:val="en-GB"/>
        </w:rPr>
        <w:t>taking into account</w:t>
      </w:r>
      <w:proofErr w:type="gramEnd"/>
      <w:r w:rsidRPr="000A58DC">
        <w:rPr>
          <w:lang w:val="en-GB"/>
        </w:rPr>
        <w:t xml:space="preserve"> the above parameters. CO</w:t>
      </w:r>
      <w:r w:rsidRPr="000A58DC">
        <w:rPr>
          <w:vertAlign w:val="subscript"/>
          <w:lang w:val="en-GB"/>
        </w:rPr>
        <w:t>2</w:t>
      </w:r>
      <w:r w:rsidRPr="000A58DC">
        <w:rPr>
          <w:lang w:val="en-GB"/>
        </w:rPr>
        <w:t xml:space="preserve"> costs are based on the calculated emission level</w:t>
      </w:r>
      <w:r w:rsidR="00070C42">
        <w:rPr>
          <w:lang w:val="en-GB"/>
        </w:rPr>
        <w:t>s</w:t>
      </w:r>
      <w:r w:rsidRPr="000A58DC">
        <w:rPr>
          <w:lang w:val="en-GB"/>
        </w:rPr>
        <w:t xml:space="preserve"> and the CO</w:t>
      </w:r>
      <w:r w:rsidRPr="000A58DC">
        <w:rPr>
          <w:vertAlign w:val="subscript"/>
          <w:lang w:val="en-GB"/>
        </w:rPr>
        <w:t>2</w:t>
      </w:r>
      <w:r w:rsidRPr="000A58DC">
        <w:rPr>
          <w:lang w:val="en-GB"/>
        </w:rPr>
        <w:t xml:space="preserve"> quota prices</w:t>
      </w:r>
      <w:r w:rsidR="00070C42">
        <w:rPr>
          <w:lang w:val="en-GB"/>
        </w:rPr>
        <w:t>.</w:t>
      </w:r>
      <w:r w:rsidRPr="000A58DC">
        <w:rPr>
          <w:lang w:val="en-GB"/>
        </w:rPr>
        <w:t xml:space="preserve"> </w:t>
      </w:r>
      <w:r w:rsidR="00070C42">
        <w:rPr>
          <w:lang w:val="en-GB"/>
        </w:rPr>
        <w:t>T</w:t>
      </w:r>
      <w:r w:rsidRPr="000A58DC">
        <w:rPr>
          <w:lang w:val="en-GB"/>
        </w:rPr>
        <w:t>hese costs are then added to the total energy tax paid and the variable OPEX.</w:t>
      </w:r>
    </w:p>
    <w:p w14:paraId="3FBD1696" w14:textId="0358265B" w:rsidR="00561AA9" w:rsidRDefault="00561AA9" w:rsidP="00561AA9">
      <w:pPr>
        <w:rPr>
          <w:lang w:val="en-GB"/>
        </w:rPr>
      </w:pPr>
      <w:r w:rsidRPr="000A58DC">
        <w:rPr>
          <w:lang w:val="en-GB"/>
        </w:rPr>
        <w:t xml:space="preserve">It is important to </w:t>
      </w:r>
      <w:r w:rsidR="00070C42">
        <w:rPr>
          <w:lang w:val="en-GB"/>
        </w:rPr>
        <w:t>acknowledge</w:t>
      </w:r>
      <w:r w:rsidRPr="000A58DC">
        <w:rPr>
          <w:lang w:val="en-GB"/>
        </w:rPr>
        <w:t xml:space="preserve"> that only short-term marginal costs are considered, the model does not analyse </w:t>
      </w:r>
      <w:r w:rsidR="00F20082">
        <w:rPr>
          <w:lang w:val="en-GB"/>
        </w:rPr>
        <w:t>the</w:t>
      </w:r>
      <w:r w:rsidRPr="000A58DC">
        <w:rPr>
          <w:lang w:val="en-GB"/>
        </w:rPr>
        <w:t xml:space="preserve"> long-term profitab</w:t>
      </w:r>
      <w:r w:rsidR="00070C42">
        <w:rPr>
          <w:lang w:val="en-GB"/>
        </w:rPr>
        <w:t>ility of the power plants</w:t>
      </w:r>
      <w:r w:rsidRPr="000A58DC">
        <w:rPr>
          <w:lang w:val="en-GB"/>
        </w:rPr>
        <w:t>. It is possible, that some units remain operational even if they provide electricity in a few hours per year. Power plant units are available until the end of their (pre-defined) lifetimes.</w:t>
      </w:r>
    </w:p>
    <w:p w14:paraId="54185404" w14:textId="1C971E5E" w:rsidR="00561AA9" w:rsidRPr="00B37C4A" w:rsidRDefault="00561AA9" w:rsidP="00561AA9">
      <w:pPr>
        <w:rPr>
          <w:lang w:val="en-GB"/>
        </w:rPr>
      </w:pPr>
      <w:r w:rsidRPr="00B37C4A">
        <w:rPr>
          <w:lang w:val="en-GB"/>
        </w:rPr>
        <w:t>In the case of renewable power plants (biomass, geothermal, hydro, wind, solar, tidal), marginal cost on the product market</w:t>
      </w:r>
      <w:r w:rsidR="00070C42">
        <w:rPr>
          <w:lang w:val="en-GB"/>
        </w:rPr>
        <w:t xml:space="preserve"> is assumed as zero</w:t>
      </w:r>
      <w:r w:rsidRPr="00B37C4A">
        <w:rPr>
          <w:lang w:val="en-GB"/>
        </w:rPr>
        <w:t xml:space="preserve">, production depends </w:t>
      </w:r>
      <w:r w:rsidR="00C14A4D">
        <w:rPr>
          <w:lang w:val="en-GB"/>
        </w:rPr>
        <w:t>solely</w:t>
      </w:r>
      <w:r w:rsidRPr="00B37C4A">
        <w:rPr>
          <w:lang w:val="en-GB"/>
        </w:rPr>
        <w:t xml:space="preserve"> on availability. Th</w:t>
      </w:r>
      <w:r w:rsidR="00C14A4D">
        <w:rPr>
          <w:lang w:val="en-GB"/>
        </w:rPr>
        <w:t>e</w:t>
      </w:r>
      <w:r w:rsidRPr="00B37C4A">
        <w:rPr>
          <w:lang w:val="en-GB"/>
        </w:rPr>
        <w:t xml:space="preserve"> estimat</w:t>
      </w:r>
      <w:r w:rsidR="00C14A4D">
        <w:rPr>
          <w:lang w:val="en-GB"/>
        </w:rPr>
        <w:t>ion is</w:t>
      </w:r>
      <w:r w:rsidRPr="00B37C4A">
        <w:rPr>
          <w:lang w:val="en-GB"/>
        </w:rPr>
        <w:t xml:space="preserve"> based on historical production data from previous years (2006-2017). Renewable production (at a predetermined cost) can be </w:t>
      </w:r>
      <w:r>
        <w:rPr>
          <w:lang w:val="en-GB"/>
        </w:rPr>
        <w:t>curtailed</w:t>
      </w:r>
      <w:r w:rsidRPr="00B37C4A">
        <w:rPr>
          <w:lang w:val="en-GB"/>
        </w:rPr>
        <w:t xml:space="preserve">. In the case of participation in the reserve market, we assume linear growth for wind and solar, with wind plants participating in the downward regulation up to 25% of their production and solar plants up to 15% of their production by the mid-2030s. The situation for hydropower is </w:t>
      </w:r>
      <w:r w:rsidR="00C14A4D">
        <w:rPr>
          <w:lang w:val="en-GB"/>
        </w:rPr>
        <w:t>distinctive</w:t>
      </w:r>
      <w:r w:rsidRPr="00B37C4A">
        <w:rPr>
          <w:lang w:val="en-GB"/>
        </w:rPr>
        <w:t xml:space="preserve">. </w:t>
      </w:r>
      <w:proofErr w:type="gramStart"/>
      <w:r w:rsidRPr="00B37C4A">
        <w:rPr>
          <w:lang w:val="en-GB"/>
        </w:rPr>
        <w:t>With the exception of</w:t>
      </w:r>
      <w:proofErr w:type="gramEnd"/>
      <w:r w:rsidRPr="00B37C4A">
        <w:rPr>
          <w:lang w:val="en-GB"/>
        </w:rPr>
        <w:t xml:space="preserve"> run-of-river plants, all hydropower plants (reservoir and pumped storage) optimise their production and reserve market participation for a full week, taking into account as a limit the maximum available production expected based on historical production data from previous years. These are used to determine the reserve market prices, while the marginal cost of the product market is zero on the supply curve. </w:t>
      </w:r>
    </w:p>
    <w:p w14:paraId="445C059A" w14:textId="77777777" w:rsidR="00561AA9" w:rsidRDefault="00561AA9" w:rsidP="00561AA9">
      <w:pPr>
        <w:rPr>
          <w:lang w:val="en-GB"/>
        </w:rPr>
      </w:pPr>
      <w:r w:rsidRPr="00B37C4A">
        <w:rPr>
          <w:lang w:val="en-GB"/>
        </w:rPr>
        <w:t xml:space="preserve">A regression model is used to forecast the future level of </w:t>
      </w:r>
      <w:r>
        <w:rPr>
          <w:lang w:val="en-GB"/>
        </w:rPr>
        <w:t xml:space="preserve">required </w:t>
      </w:r>
      <w:r w:rsidRPr="00B37C4A">
        <w:rPr>
          <w:lang w:val="en-GB"/>
        </w:rPr>
        <w:t>reserve</w:t>
      </w:r>
      <w:r>
        <w:rPr>
          <w:lang w:val="en-GB"/>
        </w:rPr>
        <w:t xml:space="preserve"> capacities</w:t>
      </w:r>
      <w:r w:rsidRPr="00B37C4A">
        <w:rPr>
          <w:lang w:val="en-GB"/>
        </w:rPr>
        <w:t>: based on 5 years and 16 countries of data, upward and downward reserve requirements are forecast for each modelled country and each modelled hour, as a function of system load and weather-dependent renewable generation capacity.</w:t>
      </w:r>
    </w:p>
    <w:p w14:paraId="194FD138" w14:textId="77777777" w:rsidR="00561AA9" w:rsidRPr="000A58DC" w:rsidRDefault="00561AA9" w:rsidP="00561AA9">
      <w:pPr>
        <w:pStyle w:val="Cmsor2"/>
        <w:rPr>
          <w:rFonts w:cs="Times New Roman"/>
        </w:rPr>
      </w:pPr>
      <w:r>
        <w:rPr>
          <w:rFonts w:cs="Times New Roman"/>
        </w:rPr>
        <w:lastRenderedPageBreak/>
        <w:t>Demand</w:t>
      </w:r>
      <w:r w:rsidRPr="000A58DC">
        <w:rPr>
          <w:rFonts w:cs="Times New Roman"/>
        </w:rPr>
        <w:t xml:space="preserve"> side of the model</w:t>
      </w:r>
    </w:p>
    <w:p w14:paraId="261A16E1" w14:textId="77777777" w:rsidR="00561AA9" w:rsidRPr="00F20082" w:rsidRDefault="00561AA9" w:rsidP="00561AA9">
      <w:pPr>
        <w:rPr>
          <w:lang w:val="en-GB"/>
        </w:rPr>
      </w:pPr>
      <w:r w:rsidRPr="00F20082">
        <w:rPr>
          <w:lang w:val="en-GB"/>
        </w:rPr>
        <w:t xml:space="preserve">Demand per country is an exogenous input to the model. Historical data are used to assume a specific demand pattern for each modelled country over the year, and assumptions are made about the actual level of demand based on forecasts from international institutions, </w:t>
      </w:r>
      <w:proofErr w:type="gramStart"/>
      <w:r w:rsidRPr="00F20082">
        <w:rPr>
          <w:lang w:val="en-GB"/>
        </w:rPr>
        <w:t>literature</w:t>
      </w:r>
      <w:proofErr w:type="gramEnd"/>
      <w:r w:rsidRPr="00F20082">
        <w:rPr>
          <w:lang w:val="en-GB"/>
        </w:rPr>
        <w:t xml:space="preserve"> and strategy documents. Between years, the initial demand path is unchanged, but it is endogenously shaped by (pumped) storage and demand side management (DSM) in each modelled year. For DSM, based on literature, it is assumed that by 2050, 25% of the average hourly consumption </w:t>
      </w:r>
      <w:proofErr w:type="gramStart"/>
      <w:r w:rsidRPr="00F20082">
        <w:rPr>
          <w:lang w:val="en-GB"/>
        </w:rPr>
        <w:t>in a given year</w:t>
      </w:r>
      <w:proofErr w:type="gramEnd"/>
      <w:r w:rsidRPr="00F20082">
        <w:rPr>
          <w:lang w:val="en-GB"/>
        </w:rPr>
        <w:t xml:space="preserve"> can be reallocated to other hours, and 10-10% of this amount can provide for upward and downward reserve capacity services. Between 2020 and 2050 we assume linear growth.</w:t>
      </w:r>
    </w:p>
    <w:p w14:paraId="51EC7ECB" w14:textId="77777777" w:rsidR="00561AA9" w:rsidRPr="00F20082" w:rsidRDefault="00561AA9" w:rsidP="00561AA9">
      <w:pPr>
        <w:pStyle w:val="Cmsor2"/>
        <w:rPr>
          <w:rFonts w:cs="Times New Roman"/>
        </w:rPr>
      </w:pPr>
      <w:r w:rsidRPr="00F20082">
        <w:rPr>
          <w:rFonts w:cs="Times New Roman"/>
        </w:rPr>
        <w:t>Equilibrium</w:t>
      </w:r>
    </w:p>
    <w:p w14:paraId="78C90F67" w14:textId="77777777" w:rsidR="00561AA9" w:rsidRPr="000A58DC" w:rsidRDefault="00561AA9" w:rsidP="00561AA9">
      <w:pPr>
        <w:rPr>
          <w:rFonts w:ascii="Segoe UI Black" w:hAnsi="Segoe UI Black"/>
          <w:sz w:val="26"/>
          <w:szCs w:val="26"/>
          <w:lang w:val="en-GB"/>
        </w:rPr>
      </w:pPr>
      <w:r w:rsidRPr="00F20082">
        <w:rPr>
          <w:lang w:val="en-GB"/>
        </w:rPr>
        <w:t>Based on the capacity and marginal cost values of the generating units, and considering which units are in reserve, the supply function is determined for each modelled hour in each country. Demand can be met from neighbouring countries in addition to domestic supply, up to the limit of cross-border capacity. In the model, each market (country) is represented by a node, and the cross-border capacities are represented by estimated NTC (net transfer capacity).</w:t>
      </w:r>
    </w:p>
    <w:p w14:paraId="5460E491" w14:textId="77777777" w:rsidR="00561AA9" w:rsidRDefault="00561AA9"/>
    <w:sectPr w:rsidR="00561AA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Semilight">
    <w:panose1 w:val="020B0402040204020203"/>
    <w:charset w:val="EE"/>
    <w:family w:val="swiss"/>
    <w:pitch w:val="variable"/>
    <w:sig w:usb0="E4002EFF" w:usb1="C000E47F" w:usb2="00000009" w:usb3="00000000" w:csb0="000001FF" w:csb1="00000000"/>
  </w:font>
  <w:font w:name="Segoe UI Black">
    <w:panose1 w:val="020B0A02040204020203"/>
    <w:charset w:val="EE"/>
    <w:family w:val="swiss"/>
    <w:pitch w:val="variable"/>
    <w:sig w:usb0="E00002FF" w:usb1="4000E47F" w:usb2="0000002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1AA9"/>
    <w:rsid w:val="00070C42"/>
    <w:rsid w:val="00561AA9"/>
    <w:rsid w:val="00746283"/>
    <w:rsid w:val="0077105C"/>
    <w:rsid w:val="008C5DBF"/>
    <w:rsid w:val="009B7FF0"/>
    <w:rsid w:val="009E46F2"/>
    <w:rsid w:val="00C14A4D"/>
    <w:rsid w:val="00E63C7D"/>
    <w:rsid w:val="00F2008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76DAA9"/>
  <w15:chartTrackingRefBased/>
  <w15:docId w15:val="{18D7ABE3-6FD4-4DBD-BA3F-1FA1CC549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61AA9"/>
    <w:pPr>
      <w:spacing w:line="259" w:lineRule="auto"/>
      <w:jc w:val="both"/>
    </w:pPr>
    <w:rPr>
      <w:rFonts w:ascii="Times New Roman" w:hAnsi="Times New Roman"/>
      <w:szCs w:val="22"/>
    </w:rPr>
  </w:style>
  <w:style w:type="paragraph" w:styleId="Cmsor1">
    <w:name w:val="heading 1"/>
    <w:basedOn w:val="Norml"/>
    <w:next w:val="Norml"/>
    <w:link w:val="Cmsor1Char"/>
    <w:uiPriority w:val="2"/>
    <w:qFormat/>
    <w:rsid w:val="0056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2"/>
    <w:unhideWhenUsed/>
    <w:qFormat/>
    <w:rsid w:val="0056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2"/>
    <w:unhideWhenUsed/>
    <w:qFormat/>
    <w:rsid w:val="00561AA9"/>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2"/>
    <w:unhideWhenUsed/>
    <w:qFormat/>
    <w:rsid w:val="00561AA9"/>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61AA9"/>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61AA9"/>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61AA9"/>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61AA9"/>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61AA9"/>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2"/>
    <w:rsid w:val="00561AA9"/>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2"/>
    <w:rsid w:val="00561AA9"/>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semiHidden/>
    <w:rsid w:val="00561AA9"/>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61AA9"/>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61AA9"/>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61AA9"/>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61AA9"/>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61AA9"/>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61AA9"/>
    <w:rPr>
      <w:rFonts w:eastAsiaTheme="majorEastAsia" w:cstheme="majorBidi"/>
      <w:color w:val="272727" w:themeColor="text1" w:themeTint="D8"/>
    </w:rPr>
  </w:style>
  <w:style w:type="paragraph" w:styleId="Cm">
    <w:name w:val="Title"/>
    <w:basedOn w:val="Norml"/>
    <w:next w:val="Norml"/>
    <w:link w:val="CmChar"/>
    <w:uiPriority w:val="10"/>
    <w:qFormat/>
    <w:rsid w:val="0056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61AA9"/>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61AA9"/>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61AA9"/>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61AA9"/>
    <w:pPr>
      <w:spacing w:before="160"/>
      <w:jc w:val="center"/>
    </w:pPr>
    <w:rPr>
      <w:i/>
      <w:iCs/>
      <w:color w:val="404040" w:themeColor="text1" w:themeTint="BF"/>
    </w:rPr>
  </w:style>
  <w:style w:type="character" w:customStyle="1" w:styleId="IdzetChar">
    <w:name w:val="Idézet Char"/>
    <w:basedOn w:val="Bekezdsalapbettpusa"/>
    <w:link w:val="Idzet"/>
    <w:uiPriority w:val="29"/>
    <w:rsid w:val="00561AA9"/>
    <w:rPr>
      <w:i/>
      <w:iCs/>
      <w:color w:val="404040" w:themeColor="text1" w:themeTint="BF"/>
    </w:rPr>
  </w:style>
  <w:style w:type="paragraph" w:styleId="Listaszerbekezds">
    <w:name w:val="List Paragraph"/>
    <w:basedOn w:val="Norml"/>
    <w:uiPriority w:val="34"/>
    <w:qFormat/>
    <w:rsid w:val="00561AA9"/>
    <w:pPr>
      <w:ind w:left="720"/>
      <w:contextualSpacing/>
    </w:pPr>
  </w:style>
  <w:style w:type="character" w:styleId="Erskiemels">
    <w:name w:val="Intense Emphasis"/>
    <w:basedOn w:val="Bekezdsalapbettpusa"/>
    <w:uiPriority w:val="21"/>
    <w:qFormat/>
    <w:rsid w:val="00561AA9"/>
    <w:rPr>
      <w:i/>
      <w:iCs/>
      <w:color w:val="0F4761" w:themeColor="accent1" w:themeShade="BF"/>
    </w:rPr>
  </w:style>
  <w:style w:type="paragraph" w:styleId="Kiemeltidzet">
    <w:name w:val="Intense Quote"/>
    <w:basedOn w:val="Norml"/>
    <w:next w:val="Norml"/>
    <w:link w:val="KiemeltidzetChar"/>
    <w:uiPriority w:val="30"/>
    <w:qFormat/>
    <w:rsid w:val="0056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61AA9"/>
    <w:rPr>
      <w:i/>
      <w:iCs/>
      <w:color w:val="0F4761" w:themeColor="accent1" w:themeShade="BF"/>
    </w:rPr>
  </w:style>
  <w:style w:type="character" w:styleId="Ershivatkozs">
    <w:name w:val="Intense Reference"/>
    <w:basedOn w:val="Bekezdsalapbettpusa"/>
    <w:uiPriority w:val="32"/>
    <w:qFormat/>
    <w:rsid w:val="00561AA9"/>
    <w:rPr>
      <w:b/>
      <w:bCs/>
      <w:smallCaps/>
      <w:color w:val="0F4761" w:themeColor="accent1" w:themeShade="BF"/>
      <w:spacing w:val="5"/>
    </w:rPr>
  </w:style>
  <w:style w:type="paragraph" w:customStyle="1" w:styleId="paragraph">
    <w:name w:val="paragraph"/>
    <w:basedOn w:val="Norml"/>
    <w:rsid w:val="00561AA9"/>
    <w:pPr>
      <w:spacing w:before="100" w:beforeAutospacing="1" w:after="100" w:afterAutospacing="1" w:line="240" w:lineRule="auto"/>
    </w:pPr>
    <w:rPr>
      <w:rFonts w:eastAsia="Times New Roman" w:cs="Times New Roman"/>
      <w:kern w:val="0"/>
      <w:szCs w:val="24"/>
      <w:lang w:eastAsia="hu-HU"/>
      <w14:ligatures w14:val="none"/>
    </w:rPr>
  </w:style>
  <w:style w:type="character" w:customStyle="1" w:styleId="normaltextrun">
    <w:name w:val="normaltextrun"/>
    <w:basedOn w:val="Bekezdsalapbettpusa"/>
    <w:rsid w:val="00561AA9"/>
  </w:style>
  <w:style w:type="character" w:customStyle="1" w:styleId="eop">
    <w:name w:val="eop"/>
    <w:basedOn w:val="Bekezdsalapbettpusa"/>
    <w:rsid w:val="00561AA9"/>
  </w:style>
  <w:style w:type="paragraph" w:styleId="Kpalrs">
    <w:name w:val="caption"/>
    <w:basedOn w:val="Norml"/>
    <w:next w:val="Norml"/>
    <w:link w:val="KpalrsChar"/>
    <w:uiPriority w:val="35"/>
    <w:unhideWhenUsed/>
    <w:qFormat/>
    <w:rsid w:val="00561AA9"/>
    <w:pPr>
      <w:keepNext/>
      <w:spacing w:before="120" w:after="120" w:line="240" w:lineRule="auto"/>
    </w:pPr>
    <w:rPr>
      <w:rFonts w:ascii="Segoe UI Semilight" w:hAnsi="Segoe UI Semilight" w:cstheme="minorHAnsi"/>
      <w:b/>
      <w:bCs/>
      <w:caps/>
      <w:spacing w:val="10"/>
      <w:sz w:val="20"/>
      <w:szCs w:val="20"/>
      <w:lang w:val="en-GB" w:eastAsia="hu-HU"/>
      <w14:ligatures w14:val="none"/>
    </w:rPr>
  </w:style>
  <w:style w:type="character" w:customStyle="1" w:styleId="KpalrsChar">
    <w:name w:val="Képaláírás Char"/>
    <w:link w:val="Kpalrs"/>
    <w:uiPriority w:val="35"/>
    <w:locked/>
    <w:rsid w:val="00561AA9"/>
    <w:rPr>
      <w:rFonts w:ascii="Segoe UI Semilight" w:hAnsi="Segoe UI Semilight" w:cstheme="minorHAnsi"/>
      <w:b/>
      <w:bCs/>
      <w:caps/>
      <w:spacing w:val="10"/>
      <w:sz w:val="20"/>
      <w:szCs w:val="20"/>
      <w:lang w:val="en-GB" w:eastAsia="hu-H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customXml" Target="../customXml/item3.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3.emf"/></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9fab14fc-6b4e-44cc-803f-ed2e8832e3d1">
      <Terms xmlns="http://schemas.microsoft.com/office/infopath/2007/PartnerControls"/>
    </lcf76f155ced4ddcb4097134ff3c332f>
    <TaxCatchAll xmlns="005f19b1-59c7-4742-8456-39ae28258b8a"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41B6DEBBAC6FC48994AA2D8B230C900" ma:contentTypeVersion="18" ma:contentTypeDescription="Create a new document." ma:contentTypeScope="" ma:versionID="04bb6cdb7164e7694dccba2753b6fc3f">
  <xsd:schema xmlns:xsd="http://www.w3.org/2001/XMLSchema" xmlns:xs="http://www.w3.org/2001/XMLSchema" xmlns:p="http://schemas.microsoft.com/office/2006/metadata/properties" xmlns:ns2="005f19b1-59c7-4742-8456-39ae28258b8a" xmlns:ns3="9fab14fc-6b4e-44cc-803f-ed2e8832e3d1" targetNamespace="http://schemas.microsoft.com/office/2006/metadata/properties" ma:root="true" ma:fieldsID="831a9449d2bba0dc28dd1f65f71c4853" ns2:_="" ns3:_="">
    <xsd:import namespace="005f19b1-59c7-4742-8456-39ae28258b8a"/>
    <xsd:import namespace="9fab14fc-6b4e-44cc-803f-ed2e8832e3d1"/>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lcf76f155ced4ddcb4097134ff3c332f" minOccurs="0"/>
                <xsd:element ref="ns2:TaxCatchAll"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05f19b1-59c7-4742-8456-39ae28258b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515b5d47-1d9b-4145-b1e7-2aedeec9b2c5}" ma:internalName="TaxCatchAll" ma:showField="CatchAllData" ma:web="005f19b1-59c7-4742-8456-39ae28258b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9fab14fc-6b4e-44cc-803f-ed2e8832e3d1"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Location" ma:index="15" nillable="true" ma:displayName="MediaServiceLocation"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3cb704b0-bd47-4b8f-88c8-daee47bf72e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DD9B012-7CB0-4E03-B2F5-ED9EB76ABB86}">
  <ds:schemaRefs>
    <ds:schemaRef ds:uri="http://schemas.microsoft.com/office/2006/metadata/properties"/>
    <ds:schemaRef ds:uri="http://schemas.microsoft.com/office/infopath/2007/PartnerControls"/>
    <ds:schemaRef ds:uri="9fab14fc-6b4e-44cc-803f-ed2e8832e3d1"/>
    <ds:schemaRef ds:uri="005f19b1-59c7-4742-8456-39ae28258b8a"/>
  </ds:schemaRefs>
</ds:datastoreItem>
</file>

<file path=customXml/itemProps2.xml><?xml version="1.0" encoding="utf-8"?>
<ds:datastoreItem xmlns:ds="http://schemas.openxmlformats.org/officeDocument/2006/customXml" ds:itemID="{59C07461-F5BD-418B-B32F-DB5EA2D424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05f19b1-59c7-4742-8456-39ae28258b8a"/>
    <ds:schemaRef ds:uri="9fab14fc-6b4e-44cc-803f-ed2e8832e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52478B-AAD6-4A60-92A0-7E49144FF21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5</Pages>
  <Words>936</Words>
  <Characters>6461</Characters>
  <Application>Microsoft Office Word</Application>
  <DocSecurity>0</DocSecurity>
  <Lines>53</Lines>
  <Paragraphs>14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Mezősi András</dc:creator>
  <cp:keywords/>
  <dc:description/>
  <cp:lastModifiedBy>Szabó László</cp:lastModifiedBy>
  <cp:revision>4</cp:revision>
  <dcterms:created xsi:type="dcterms:W3CDTF">2024-05-27T14:31:00Z</dcterms:created>
  <dcterms:modified xsi:type="dcterms:W3CDTF">2024-05-27T18:59:00Z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f5a0bb5b-a6ef-4af8-b796-8103d95ce845</vt:lpwstr>
  </property>
  <property fmtid="{D5CDD505-2E9C-101B-9397-08002B2CF9AE}" pid="3" name="ContentTypeId">
    <vt:lpwstr>0x010100441B6DEBBAC6FC48994AA2D8B230C900</vt:lpwstr>
  </property>
</Properties>
</file>