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SpaceOS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2E5FA3"/>
          <w:sz w:val="40"/>
          <w:szCs w:val="40"/>
        </w:rPr>
        <w:t xml:space="preserve">Audit &amp; Temporal State Architecture</w:t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Iparági bevált sztenderdek és implementációs roadmap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2026. április • Belső architektúrai kutatás • v1.0</w:t>
      </w:r>
    </w:p>
    <w:p>
      <w:r>
        <w:br w:type="page"/>
      </w:r>
    </w:p>
    <w:p>
      <w:pPr>
        <w:pStyle w:val="Heading1"/>
        <w:pBdr>
          <w:bottom w:val="single" w:color="2E5FA3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Ez a dokumentum feltérképezi az iparági legjobb gyakorlatokat az audit naplózás, az időbeli állapotkövetés (temporal state), és a kriptográfiai tamper-evidence területén, majd konkrét implementációs javaslatot ad a SpaceOS.Kernel számára.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6"/>
              <w:bottom w:val="single" w:color="2E5FA3" w:sz="1"/>
              <w:right w:val="single" w:color="2E5FA3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Kulcsmegállapítás: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SpaceOS jelenlegi append-only audit log stabil alapot jelent, de önmagában nem elegendő. A három kritikus hiányosság: (1) nincs hash chain — módosítás utólag nem detektálható, (2) nincs snapshot store — az aggregate múltbeli állapota nem kérdezhető le, (3) nincs external timestamping — az Escrow jóváhagyások jogilag nem hitelesíthetők.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1426"/>
      </w:tblGrid>
      <w:tr>
        <w:trPr>
          <w:tblHeader/>
        </w:trPr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Terület</w:t>
            </w:r>
          </w:p>
        </w:tc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Jelenlegi állapot</w:t>
            </w:r>
          </w:p>
        </w:tc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Iparági elvárás</w:t>
            </w:r>
          </w:p>
        </w:tc>
        <w:tc>
          <w:tcPr>
            <w:tcW w:type="dxa" w:w="14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Append-only 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Megvan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Kötelező alap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Nincs gap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SHA-256 hash / event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Megvan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Kötelező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Nincs gap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Hash chain (láncolás)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Hiányzik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SOC 2 elvárás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KRITIKUS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Aggregate snapshot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Hiányzik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Temporal query alap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MAGAS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External timestamping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Hiányzik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⚠️ Pénzügyi elvárás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KÖZEPES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GDPR pseudonymization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Hiányzik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GDPR elvárás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MAGAS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Az Auditálás Spektruma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Az iparágban négy jól elkülönülő szint létezik. A SpaceOS FinTech és B2B jellege miatt a 2. szint (Snapshot Store) megvalósítása elengedhetetlen, a 3. szint (Event Sourcing) középtávú célkitűzés.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300"/>
        <w:gridCol w:w="2626"/>
      </w:tblGrid>
      <w:tr>
        <w:trPr>
          <w:tblHeader/>
        </w:trPr>
        <w:tc>
          <w:tcPr>
            <w:tcW w:type="dxa" w:w="9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Szint</w:t>
            </w:r>
          </w:p>
        </w:tc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Minta</w:t>
            </w:r>
          </w:p>
        </w:tc>
        <w:tc>
          <w:tcPr>
            <w:tcW w:type="dxa" w:w="33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 old meg?</w:t>
            </w:r>
          </w:p>
        </w:tc>
        <w:tc>
          <w:tcPr>
            <w:tcW w:type="dxa" w:w="26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SpaceOS relevancia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 Log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Ki, mit, mikor változtatott — naplózás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Megvan (alap)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Snapshot Store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Az aggregate múltbeli állapota visszakérdezhető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🎯 Következő lépés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Event Sourcing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Az aggregate állapota eseményekből rekonstruálható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📅 Középtávú cél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Bi-Temporal Model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Valós idő + rögzítési idő szétválasztva (banki szint)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🔭 Horizon 5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Az iparági referencia architektúra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Az iparág vezető SaaS platformjai (Salesforce, GitHub, Stripe) mind a következő kombinációt alkalmazzák a megbízható auditnál: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Append-only tábla (nincs UPDATE/DELETE a CAD adatokon)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Hash chain: minden rekord hash-e tartalmazza az előző hash-t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Pillanatkép (Snapshot) Milestone-onként és aggregate-lezáráskor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RFC 3161 Trusted Timestamp a pénzügyi jóváhagyásokhoz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Pseudonymizált személyes adatok az audit logban (GDPR)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Hash Chain — Tamper Evidence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hash chain az audit log legtöbb sérülékenységét megszünteti. Az elvén alapul, hogy minden bejegyzés hash-e az előző bejegyzés hash-ét is tartalmazza, így bármely korábbi rekord módosítása az összes rákövetkező hash érvénytelenítését eredményezi — és ez algoritmikusan detektálható.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Az algoritmus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hash számítási sorrendje minden audit eventnél: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chainInput = previousHash + ":" + payloadJson + ":" + occurredAt(ISO8601)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stateHash  = SHA256(UTF8.GetBytes(chainInput))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Genesis rekord: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 első rekordnál (nincs előző hash) a PreviousHash értéke egy előre meghatározott, hardkódolt konstans: "0000000000000000000000000000000000000000000000000000000000000000" (64 db nulla karakter). Ez a Bitcoin genesis block mintáját követi.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Szükséges sémaváltoztatás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Az AuditEvent entitáshoz egyetlen új mező kerül: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Mező</w:t>
            </w:r>
          </w:p>
        </w:tc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Típus</w:t>
            </w:r>
          </w:p>
        </w:tc>
        <w:tc>
          <w:tcPr>
            <w:tcW w:type="dxa" w:w="35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PreviousHash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varchar(64), NOT 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Az időben megelőző AuditEvent StateHash-je (tenantId + time szerint)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StateHash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varchar(64), NOT 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SHA-256 hex, immár chain-be láncolva (meglévő mező, számítás változik)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Verifikáció — a lánc ellenőrzése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Kernel egy dedikált service-en keresztül bármikor lefuttathatja a chain integrity checkert. Ez a SOC 2 audithoz szükséges önellenőrzési képesség.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GET /api/audit-events/verify-chain?tenantId={id}&amp;from={date}&amp;to={date}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response tartalmaz: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IsValid: bool — a lánc sértetlen-e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FirstBrokenAt: DateTimeOffset? — hol szakadt meg a lánc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TotalRecordsChecked: int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Snapshot Store — Temporal State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Az audit log megmondja, hogy MI TÖRTÉNT. A snapshot store megmondja, hogy MI VOLT AZ AGGREGATE ÁLLAPOTA egy adott pillanatban. A kettő együtt teszi lehetővé az időbeli visszakérdezést (temporal query), ami a SpaceOS Escrow mechanizmusának jogi alapja.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Az AggregateSnapshot entitás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Mező</w:t>
            </w:r>
          </w:p>
        </w:tc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Típus</w:t>
            </w:r>
          </w:p>
        </w:tc>
        <w:tc>
          <w:tcPr>
            <w:tcW w:type="dxa" w:w="4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AggregateId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uuid, NOT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pillanatképezett aggregate ID-ja (pl. FlowEpicId)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AggregateType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Pl. 'FlowEpic', 'SpaceLayer' — típusbiztos enum ajánlott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int, NOT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Monoton növekvő verziószám az aggregate-en belül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SnapshotAt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timestamptz, NOT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Mikor készült a pillanatkép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TriggerEventId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uuid, FK → AuditEvent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Melyik esemény váltotta ki a snapshotot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StateJson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jsonb, NOT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teljes aggregate állapot szerializálva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SnapshotHash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SHA-256 a StateJson-ből — cross-referencia az AuditEvent hash-sel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TenantId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uuid, NOT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Multi-tenant izoláció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Mikor készüljön snapshot?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Az iparági gyakorlat szerint a snapshot trigger-ek a következők: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Esemény</w:t>
            </w:r>
          </w:p>
        </w:tc>
        <w:tc>
          <w:tcPr>
            <w:tcW w:type="dxa" w:w="3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Miért trigger?</w:t>
            </w:r>
          </w:p>
        </w:tc>
        <w:tc>
          <w:tcPr>
            <w:tcW w:type="dxa" w:w="25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Prioritás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FlowEpic → CLOSED_DONE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Ez az Escrow kifizetés alapja — jogilag kötelező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P0 — kötelező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FlowMilestone lezárása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Mérföldkő elfogadás → pénzügyi tranzakció kötődik hozzá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P0 — kötelező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B2BHandshake delegálás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Szerződéses csatolás pillanata — letagadhatatlanság alap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P1 — fontos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SpaceLayer hash frissítés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CAD state változás — verziókövetés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P1 — fontos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N-edik eseményenként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Pl. minden 50. audit eventnél — gyors visszaállíthatóság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P2 — ajánlott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Napi/heti ütemezetten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Backup-jellegű snapshot — disaster recovery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P2 — ajánlott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A temporal query API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snapshot store lehetővé teszi az alábbi query-ket, amelyek ma nem állnak rendelkezésre: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GET /api/snapshots/{aggregateId}?at=2026-02-15T14:32:00Z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→ A legkésőbbi snapshot az adott időpont előttről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GET /api/snapshots/{aggregateId}/versions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→ Az aggregate teljes verziótörténete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GET /api/audit/diff?aggregateId={id}&amp;from={v1}&amp;to={v2}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→ Két snapshot között mi változott (JSON diff)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Iparági Sztenderdek és Megfelelőség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SOC 2 Type II elvárások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SOC 2 Type II a SaaS platformok de facto biztonsági auditstandartja. A CC7.2 és CC7.3 kontrollok az alábbi audit elvárásokat tartalmazzák: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Minden privilegizált művelet naplózva: ki, mit, mikor, honnan (IP)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log integritása folyamatosan ellenőrizhető (hash chain vagy WORM storage)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 retention: minimum 12 hónap online elérhetőség, 7 év archív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 az audit log megáll → security incidentként kezelendő (alert)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Szeparáció: az audit loghoz az alkalmazásnak nincs DELETE joga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GDPR — Az audit log paradoxona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GDPR 17. cikke (right to erasure) és a letagadhatatlanság (non-repudiation) elve látszólag ellentétben van. Az iparági megoldás a pseudonymizáció: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GDPR helyzet</w:t>
            </w:r>
          </w:p>
        </w:tc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Megoldás</w:t>
            </w:r>
          </w:p>
        </w:tc>
        <w:tc>
          <w:tcPr>
            <w:tcW w:type="dxa" w:w="34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Implementáció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Törlési kérelem → audit log nem törölhető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Pseudonymizáció: a neve törlődik, a GUID marad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UserProfile tábla külön — audit logban csak userId (GUID)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Az esemény payload személyes adatot tartalmaz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PII mező szeparált titkosítással, külön kulcsrotációval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AES-256 a payload PII mezőin, a kulcs per-tenant KeyVault-ban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 log retention vs. adattakarékosság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Legitimate interest jogalap védi az audit logot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Privacy Notice-ban explicit rögzíteni kell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5.3 RFC 3161 — Trusted Timestamping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Az RFC 3161 egy IETF szabvány a kriptográfiai időbélyegzésre. A TSA (Trusted Timestamp Authority — pl. DigiCert, GlobalSign) egy jogilag hiteles, harmadik fél által aláírt időbélyeget ad a dokumentum hash-ére.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6B45" w:sz="1"/>
              <w:left w:val="single" w:color="1E6B45" w:sz="16"/>
              <w:bottom w:val="single" w:color="1E6B45" w:sz="1"/>
              <w:right w:val="single" w:color="1E6B45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45"/>
                <w:sz w:val="20"/>
                <w:szCs w:val="20"/>
              </w:rPr>
              <w:t xml:space="preserve">Mikor szükséges?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Minden Milestone elfogadáskor és Escrow triggerkor. A TSA bélyeg bizonyítja, hogy a hash létezett az adott időpontban, és utólag nem lehetett visszadatálni. Ez a bírósági bizonyíthatóság alapkövetelménye.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5.4 Bi-temporal modell — mikor NEM kell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bi-temporal modell (Valid Time + Transaction Time szétválasztása) szükséges, ha a rendszer visszadatált módosításokat enged (pl. 'tegnapi dátumra módosítom a tervet'). A SpaceOS-nek erre nincs üzleti igénye — a Transaction Time (amit már tárolsz) elegendő. A bi-temporal implementáció szükségtelen komplexitást adna a Kernel-hez.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Event Sourcing — Középtávú Architektúra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Az Event Sourcing az aggregate állapotát nem táblában tárolja, hanem az azt létrehozó események sorozatából minden alkalommal rekonstruálja. Ez a legnagyobb léptékű architektúraváltás, de a SpaceOS jelenlegi domain event infrastruktúrája jó alapot nyújt hozzá.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A különbség a jelenlegi megközelítéstől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Szempont</w:t>
            </w:r>
          </w:p>
        </w:tc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Jelenlegi (CRUD + audit log)</w:t>
            </w:r>
          </w:p>
        </w:tc>
        <w:tc>
          <w:tcPr>
            <w:tcW w:type="dxa" w:w="32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Sourcing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Adat tárolása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Legutóbbi állapot az aggregate táblában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Csak az események — az állapot rekonstruált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Múltbeli állapot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Nem lekérdezhető (csak audit log van)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Bármely pillanat visszajátszható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Sémaváltozás hatása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Migrációval kezelhető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Event upcasting szükséges (komplex)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 teljesítmény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Közvetlen SQL — gyors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Projekciók (Read Model) kellenek — komplex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 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Külön tábla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Az esemény tábla maga az audit log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Implementációs cost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Alacsony (inkrementális)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Magas (teljes refactor)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6404" w:sz="1"/>
              <w:left w:val="single" w:color="856404" w:sz="16"/>
              <w:bottom w:val="single" w:color="856404" w:sz="1"/>
              <w:right w:val="single" w:color="856404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Javaslat: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 Event Sourcing full implementációja nem ajánlott most. A Snapshot Store (4. fejezet) az előnyök 80%-át adja a komplexitás 20%-áért. Az Event Sourcing akkor érdemes, ha a Kernel Domain Event infrastruktúrája már stabil, és explicit üzleti igény érkezi (pl. audit replay SLA, vagy Horizon 5 blockchain anchoring).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SpaceOS-Specifikus Implementációs Terv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7.1 Prioritizált roadmap</w:t>
      </w:r>
    </w:p>
    <w:p>
      <w:pPr>
        <w:spacing w:after="0" w:before="80"/>
      </w:pPr>
      <w:r>
        <w:t xml:space="preserve"/>
      </w:r>
    </w:p>
    <w:tbl>
      <w:tblPr>
        <w:tblW w:type="dxa" w:w="902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2200"/>
        <w:gridCol w:w="1200"/>
        <w:gridCol w:w="927"/>
      </w:tblGrid>
      <w:tr>
        <w:trPr>
          <w:tblHeader/>
        </w:trPr>
        <w:tc>
          <w:tcPr>
            <w:tcW w:type="dxa" w:w="1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Fázis</w:t>
            </w:r>
          </w:p>
        </w:tc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</w:t>
            </w:r>
          </w:p>
        </w:tc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</w:t>
            </w:r>
          </w:p>
        </w:tc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Komplexitás</w:t>
            </w:r>
          </w:p>
        </w:tc>
        <w:tc>
          <w:tcPr>
            <w:tcW w:type="dxa" w:w="927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Sürgősség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 — Azonnali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Hash chain: PreviousHash mező az AuditEvent-hez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Domain + Infrastructure + Migration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Alacsony</w:t>
            </w:r>
          </w:p>
        </w:tc>
        <w:tc>
          <w:tcPr>
            <w:tcW w:type="dxa" w:w="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KRITIKUS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 — Azonnali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AuditEventDispatcher: chain-aware hash számítás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Application/AuditEventDispatcher.cs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Alacsony</w:t>
            </w:r>
          </w:p>
        </w:tc>
        <w:tc>
          <w:tcPr>
            <w:tcW w:type="dxa" w:w="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KRITIKUS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 — Sprint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AggregateSnapshot entitás + tábla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Domain + Infrastructure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Közepes</w:t>
            </w:r>
          </w:p>
        </w:tc>
        <w:tc>
          <w:tcPr>
            <w:tcW w:type="dxa" w:w="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Magas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 — Sprint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SnapshotService: trigger on CLOSED_DONE + Milestone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Application/Snapshots/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Közepes</w:t>
            </w:r>
          </w:p>
        </w:tc>
        <w:tc>
          <w:tcPr>
            <w:tcW w:type="dxa" w:w="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Magas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 — Sprint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Snapshot query API 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Api/Snapshots/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Alacsony</w:t>
            </w:r>
          </w:p>
        </w:tc>
        <w:tc>
          <w:tcPr>
            <w:tcW w:type="dxa" w:w="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Magas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 — Sprint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Chain integrity verifier 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Api/AuditEvents/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Közepes</w:t>
            </w:r>
          </w:p>
        </w:tc>
        <w:tc>
          <w:tcPr>
            <w:tcW w:type="dxa" w:w="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Közepes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 — Sprint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GDPR pseudonymizáció: PII mezők szeparálása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Domain + Infrastructure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Közepes</w:t>
            </w:r>
          </w:p>
        </w:tc>
        <w:tc>
          <w:tcPr>
            <w:tcW w:type="dxa" w:w="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Közepes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P3 — Q3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RFC 3161 external timestamping Escrow triggerekre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Infrastructure/Timestamping/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Magas</w:t>
            </w:r>
          </w:p>
        </w:tc>
        <w:tc>
          <w:tcPr>
            <w:tcW w:type="dxa" w:w="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Alacsony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P4 — Horizon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Blockchain hash anchoring (Polygon L2)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Infrastructure/Blockchain/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Magas</w:t>
            </w:r>
          </w:p>
        </w:tc>
        <w:tc>
          <w:tcPr>
            <w:tcW w:type="dxa" w:w="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Jövő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7.2 Az Escrow kapcsolódása a temporal state-hez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SpaceOS FinTech rétegének (Escrow, Milestone-alapú kifizetések) szempontjából a snapshot store nem opcionális — ez az egyetlen módja annak, hogy a kifizetés pillanatában fennálló állapot jogilag bizonyítható legyen.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rPr>
          <w:tblHeader/>
        </w:trPr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Escrow esemény</w:t>
            </w:r>
          </w:p>
        </w:tc>
        <w:tc>
          <w:tcPr>
            <w:tcW w:type="dxa" w:w="3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Szükséges audit elem</w:t>
            </w:r>
          </w:p>
        </w:tc>
        <w:tc>
          <w:tcPr>
            <w:tcW w:type="dxa" w:w="3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Jelenlegi gap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Milestone elfogadás → letét feloldás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Snapshot az elfogadás pillanatában + RFC 3161 TSA bélyeg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Snapshot hiányzik, TSA hiányzik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B2B Handshake delegálás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Mindkét fél állapotának snapshot-ja + hash cross-reference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Snapshot hiányzik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CLOSED_DONE → kifizetés trigger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FlowEpic snapshot + ImplementationSummary hash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Snapshot hiányzik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Vita esetén állapot visszaigazolás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Temporal query: 'mi volt az állapot X időpontban?'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Nem lehetséges jelenleg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C# Referencia Implementáció (Minták)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8.1 Hash chain — AuditEventDispatcher módosítás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meglévő AuditEventDispatcher egyetlen helyen módosul: a hash számítás előtt lekéri az előző hash-t, és belerakja a chain inputba.</w:t>
      </w:r>
    </w:p>
    <w:p>
      <w:pPr>
        <w:spacing w:after="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// Application/Audit/AuditEventDispatcher.cs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private async Task&lt;string&gt; ComputeChainHashAsync(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string payloadJson,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DateTimeOffset occurredAt,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Guid tenantId,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CancellationToken ct)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var previousHash = await _auditRepo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.GetLastHashAsync(tenantId, ct)          // ← új repository metódus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.ConfigureAwait(false)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?? GenesisHash;                           // ← első rekordnál konstans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var chainInput = $"{previousHash}:{payloadJson}:{occurredAt:O}";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var bytes = SHA256.HashData(Encoding.UTF8.GetBytes(chainInput));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return Convert.ToHexString(bytes).ToLowerInvariant();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private const string GenesisHash =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"0000000000000000000000000000000000000000000000000000000000000000";</w:t>
      </w:r>
    </w:p>
    <w:p>
      <w:pPr>
        <w:spacing w:after="0" w:before="1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8.2 SnapshotService — FlowEpic CLOSED_DONE triggerje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// Application/Snapshots/SnapshotService.cs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public sealed class FlowEpicClosedDoneHandler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: INotificationHandler&lt;FlowEpicExecutionStartedEvent&gt;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public async Task Handle(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FlowEpicExecutionStartedEvent notification,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CancellationToken ct)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if (notification.NewState != FsmState.CLOSED_DONE) return;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var epic = await _epicRepo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.GetByIdAsync(notification.EpicId, ct)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.ConfigureAwait(false);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var stateJson = JsonSerializer.Serialize(epic);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var hash = SHA256.HashData(Encoding.UTF8.GetBytes(stateJson));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var snapshot = AggregateSnapshot.Create(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aggregateId:   epic.Id.Value,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aggregateType: "FlowEpic",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stateJson:     stateJson,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snapshotHash:  Convert.ToHexString(hash).ToLowerInvariant(),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triggerEventId: notification.AuditEventId);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await _snapshotRepo.AddAsync(snapshot, ct).ConfigureAwait(false);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await _unitOfWork.SaveChangesAsync(ct).ConfigureAwait(false);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Összefoglalás és Döntési Pontok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6"/>
              <w:bottom w:val="single" w:color="2E5FA3" w:sz="1"/>
              <w:right w:val="single" w:color="2E5FA3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A három legfontosabb döntés: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Hash chain bevezetése — low risk, high value, azonnal implementálható. 2. Snapshot store FlowEpic és Milestone entitásokra — az Escrow jogilag bizonyítható alapja. 3. GDPR pseudonymizáció tervezése — most kell megtervezni, mielőtt az adatmennyiség nő.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226"/>
      </w:tblGrid>
      <w:tr>
        <w:trPr>
          <w:tblHeader/>
        </w:trPr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Kérdés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Javaslat</w:t>
            </w:r>
          </w:p>
        </w:tc>
        <w:tc>
          <w:tcPr>
            <w:tcW w:type="dxa" w:w="32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Bevezetjük a hash chain-t most?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Igen — P0 prioritás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 2 CC7.2, tamper evidence alapkövetelmény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Snapshot store scope: mely aggregate-ek?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FlowEpic + FlowMilestone az első körben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Escrow triggerekhez kötöttek — jogilag kritikus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Event Sourcing átállás időzítése?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Nem most — Snapshot Store elegendő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Magas refactor cost vs. 80% overlap a Snapshot-tal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RFC 3161 TSA — melyik szolgáltató?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DigiCert vagy GlobalSign (EU-s TSA)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GDPR kompatibilitás, EU adatrezidencia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Blockchain anchoring mikor?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Horizon 5 — csak ha az Escrow üzletileg igényli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Nem szükséges a Hash chain + TSA mellett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SpaceOS — Belső Architektúrai Kutatás | 2026. április | Architect Team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6"/>
      </w:pBdr>
      <w:spacing w:after="0" w:before="12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SpaceOS Belső Kutatás — 2026. április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6"/>
      </w:pBdr>
      <w:spacing w:after="120" w:before="0"/>
    </w:pPr>
    <w:r>
      <w:rPr>
        <w:rFonts w:ascii="Arial" w:cs="Arial" w:eastAsia="Arial" w:hAnsi="Arial"/>
        <w:color w:val="555555"/>
        <w:sz w:val="18"/>
        <w:szCs w:val="18"/>
      </w:rPr>
      <w:t xml:space="preserve">SpaceOS — Audit &amp; Temporal State Architecture</w:t>
    </w:r>
    <w:r>
      <w:rPr>
        <w:rFonts w:ascii="Arial" w:cs="Arial" w:eastAsia="Arial" w:hAnsi="Arial"/>
        <w:color w:val="555555"/>
        <w:sz w:val="18"/>
        <w:szCs w:val="18"/>
      </w:rPr>
      <w:t xml:space="preserve">   |   Belső kutatás   |   2026. április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2026-04-02T12:20:27.784Z</dcterms:created>
  <dcterms:modified xsi:type="dcterms:W3CDTF">2026-04-02T12:20:27.785Z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