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Coordinate-Governed Mapping of Source-Local Scientific Projections:</w:t>
      </w:r>
      <w:r>
        <w:br/>
      </w:r>
      <w:r>
        <w:t xml:space="preserve">A Fixed-Panel Study</w:t>
      </w:r>
    </w:p>
    <w:p>
      <w:pPr>
        <w:pStyle w:val="Author"/>
      </w:pPr>
      <w:r>
        <w:t xml:space="preserve">Sze Chun Yiu</w:t>
      </w:r>
      <w:r>
        <w:br/>
      </w:r>
      <w:r>
        <w:t xml:space="preserve">Stockholm University</w:t>
      </w:r>
      <w:r>
        <w:br/>
      </w:r>
      <w:r>
        <w:rPr>
          <w:rStyle w:val="VerbatimChar"/>
        </w:rPr>
        <w:t xml:space="preserve">sze-chun.yiu@fysik.su.se</w:t>
      </w:r>
    </w:p>
    <w:p>
      <w:pPr>
        <w:pStyle w:val="Date"/>
      </w:pPr>
      <w:r>
        <w:t xml:space="preserve">1 September 2026</w:t>
      </w:r>
    </w:p>
    <w:p>
      <w:pPr>
        <w:pStyle w:val="AbstractTitle"/>
      </w:pPr>
      <w:r>
        <w:t xml:space="preserve">Abstract</w:t>
      </w:r>
    </w:p>
    <w:p>
      <w:pPr>
        <w:pStyle w:val="Abstract"/>
      </w:pPr>
      <w:r>
        <w:rPr>
          <w:b/>
          <w:bCs/>
        </w:rPr>
        <w:t xml:space="preserve">Background.</w:t>
      </w:r>
      <w:r>
        <w:t xml:space="preserve"> </w:t>
      </w:r>
      <w:r>
        <w:t xml:space="preserve">Scientific statements can appear to agree after their</w:t>
      </w:r>
      <w:r>
        <w:t xml:space="preserve"> </w:t>
      </w:r>
      <w:r>
        <w:t xml:space="preserve">polarity, measurement, context or provenance has been discarded. We test a</w:t>
      </w:r>
      <w:r>
        <w:t xml:space="preserve"> </w:t>
      </w:r>
      <w:r>
        <w:t xml:space="preserve">small decision-layer rule that keeps those coordinates explicit when mapping</w:t>
      </w:r>
      <w:r>
        <w:t xml:space="preserve"> </w:t>
      </w:r>
      <w:r>
        <w:t xml:space="preserve">already-structured scientific projections.</w:t>
      </w:r>
    </w:p>
    <w:p>
      <w:pPr>
        <w:pStyle w:val="Abstract"/>
      </w:pPr>
      <w:r>
        <w:rPr>
          <w:b/>
          <w:bCs/>
        </w:rPr>
        <w:t xml:space="preserve">Methods.</w:t>
      </w:r>
      <w:r>
        <w:t xml:space="preserve"> </w:t>
      </w:r>
      <w:r>
        <w:t xml:space="preserve">An initial 32-case panel motivated a prospectively frozen,</w:t>
      </w:r>
      <w:r>
        <w:t xml:space="preserve"> </w:t>
      </w:r>
      <w:r>
        <w:t xml:space="preserve">case-identifier-disjoint 32-case holdout spanning three authored case families.</w:t>
      </w:r>
      <w:r>
        <w:t xml:space="preserve"> </w:t>
      </w:r>
      <w:r>
        <w:t xml:space="preserve">We compared coordinate-governed mapping with flat predicate canonicalization</w:t>
      </w:r>
      <w:r>
        <w:t xml:space="preserve"> </w:t>
      </w:r>
      <w:r>
        <w:t xml:space="preserve">and an exact-coordinate conservative rule. Bootstrap intervals are descriptive</w:t>
      </w:r>
      <w:r>
        <w:t xml:space="preserve"> </w:t>
      </w:r>
      <w:r>
        <w:t xml:space="preserve">diagnostics for this fixed panel, not population uncertainty. A separate</w:t>
      </w:r>
      <w:r>
        <w:t xml:space="preserve"> </w:t>
      </w:r>
      <w:r>
        <w:t xml:space="preserve">deterministic conformance battery contains 400 generated records instantiating</w:t>
      </w:r>
      <w:r>
        <w:t xml:space="preserve"> </w:t>
      </w:r>
      <w:r>
        <w:t xml:space="preserve">eight unique decision archetypes across five labels and ten identifier variants.</w:t>
      </w:r>
    </w:p>
    <w:p>
      <w:pPr>
        <w:pStyle w:val="Abstract"/>
      </w:pPr>
      <w:r>
        <w:rPr>
          <w:b/>
          <w:bCs/>
        </w:rPr>
        <w:t xml:space="preserve">Results.</w:t>
      </w:r>
      <w:r>
        <w:t xml:space="preserve"> </w:t>
      </w:r>
      <w:r>
        <w:t xml:space="preserve">On the holdout, coordinate-governed mapping made no false</w:t>
      </w:r>
      <w:r>
        <w:t xml:space="preserve"> </w:t>
      </w:r>
      <w:r>
        <w:t xml:space="preserve">merges, whereas flat canonicalization made six of 32 (difference</w:t>
      </w:r>
      <w:r>
        <w:t xml:space="preserve"> </w:t>
      </w:r>
      <m:oMath>
        <m:r>
          <m:rPr>
            <m:sty m:val="p"/>
          </m:rPr>
          <m:t>−</m:t>
        </m:r>
        <m:r>
          <m:t>0.1875</m:t>
        </m:r>
      </m:oMath>
      <w:r>
        <w:t xml:space="preserve">;</w:t>
      </w:r>
      <w:r>
        <w:t xml:space="preserve"> </w:t>
      </w:r>
      <w:r>
        <w:t xml:space="preserve">fixed-panel 95% bootstrap diagnostic</w:t>
      </w:r>
      <w:r>
        <w:t xml:space="preserve"> </w:t>
      </w:r>
      <m:oMath>
        <m:r>
          <m:rPr>
            <m:sty m:val="p"/>
          </m:rPr>
          <m:t>[</m:t>
        </m:r>
        <m:r>
          <m:rPr>
            <m:sty m:val="p"/>
          </m:rPr>
          <m:t>−</m:t>
        </m:r>
        <m:r>
          <m:t>0.34375</m:t>
        </m:r>
        <m:r>
          <m:rPr>
            <m:sty m:val="p"/>
          </m:rPr>
          <m:t>,</m:t>
        </m:r>
        <m:r>
          <m:rPr>
            <m:sty m:val="p"/>
          </m:rPr>
          <m:t>−</m:t>
        </m:r>
        <m:r>
          <m:t>0.0625</m:t>
        </m:r>
        <m:r>
          <m:rPr>
            <m:sty m:val="p"/>
          </m:rPr>
          <m:t>]</m:t>
        </m:r>
      </m:oMath>
      <w:r>
        <w:t xml:space="preserve">). All six errors were</w:t>
      </w:r>
      <w:r>
        <w:t xml:space="preserve"> </w:t>
      </w:r>
      <w:r>
        <w:t xml:space="preserve">polarity contrasts; the other two families (19 cases) did not discriminate the</w:t>
      </w:r>
      <w:r>
        <w:t xml:space="preserve"> </w:t>
      </w:r>
      <w:r>
        <w:t xml:space="preserve">rules. The</w:t>
      </w:r>
      <w:r>
        <w:t xml:space="preserve"> </w:t>
      </w:r>
      <w:r>
        <w:t xml:space="preserve">false-split difference from the conservative rule was zero. In the conformance</w:t>
      </w:r>
      <w:r>
        <w:t xml:space="preserve"> </w:t>
      </w:r>
      <w:r>
        <w:t xml:space="preserve">battery, the complete rule scored 400/400, the strong semantic product 250/400,</w:t>
      </w:r>
      <w:r>
        <w:t xml:space="preserve"> </w:t>
      </w:r>
      <w:r>
        <w:t xml:space="preserve">and canonical matching 50/400. An information-equivalent</w:t>
      </w:r>
      <w:r>
        <w:t xml:space="preserve"> </w:t>
      </w:r>
      <w:r>
        <w:t xml:space="preserve">typed implementation also scored 400/400.</w:t>
      </w:r>
    </w:p>
    <w:p>
      <w:pPr>
        <w:pStyle w:val="Abstract"/>
      </w:pPr>
      <w:r>
        <w:rPr>
          <w:b/>
          <w:bCs/>
        </w:rPr>
        <w:t xml:space="preserve">Conclusions.</w:t>
      </w:r>
      <w:r>
        <w:t xml:space="preserve"> </w:t>
      </w:r>
      <w:r>
        <w:t xml:space="preserve">These panels support a bounded observation: retaining</w:t>
      </w:r>
      <w:r>
        <w:t xml:space="preserve"> </w:t>
      </w:r>
      <w:r>
        <w:t xml:space="preserve">polarity and an explicit non-merge terminal avoids the six false agreements</w:t>
      </w:r>
      <w:r>
        <w:t xml:space="preserve"> </w:t>
      </w:r>
      <w:r>
        <w:t xml:space="preserve">created by the registered flat rule. They do not establish population error</w:t>
      </w:r>
      <w:r>
        <w:t xml:space="preserve"> </w:t>
      </w:r>
      <w:r>
        <w:t xml:space="preserve">rates, superiority over deployed integration systems, the independent value of</w:t>
      </w:r>
      <w:r>
        <w:t xml:space="preserve"> </w:t>
      </w:r>
      <w:r>
        <w:t xml:space="preserve">every coordinate, raw-text extraction performance or downstream scientific</w:t>
      </w:r>
      <w:r>
        <w:t xml:space="preserve"> </w:t>
      </w:r>
      <w:r>
        <w:t xml:space="preserve">utility.</w:t>
      </w:r>
    </w:p>
    <w:p>
      <w:pPr>
        <w:pStyle w:val="FirstParagraph"/>
      </w:pPr>
      <w:r>
        <w:rPr>
          <w:b/>
          <w:bCs/>
        </w:rPr>
        <w:t xml:space="preserve">Keywords:</w:t>
      </w:r>
      <w:r>
        <w:t xml:space="preserve"> </w:t>
      </w:r>
      <w:r>
        <w:t xml:space="preserve">semantic interoperability; knowledge</w:t>
      </w:r>
      <w:r>
        <w:t xml:space="preserve"> </w:t>
      </w:r>
      <w:r>
        <w:t xml:space="preserve">representation; evidence provenance; coordinate systems; scientific mapping.</w:t>
      </w:r>
    </w:p>
    <w:bookmarkStart w:id="9" w:name="introduction"/>
    <w:p>
      <w:pPr>
        <w:pStyle w:val="Heading1"/>
      </w:pPr>
      <w:r>
        <w:t xml:space="preserve">Introduction</w:t>
      </w:r>
    </w:p>
    <w:p>
      <w:pPr>
        <w:pStyle w:val="FirstParagraph"/>
      </w:pPr>
      <w:r>
        <w:t xml:space="preserve">Scientific claims are distributed across fields that use different terms,</w:t>
      </w:r>
      <w:r>
        <w:t xml:space="preserve"> </w:t>
      </w:r>
      <w:r>
        <w:t xml:space="preserve">measurements, contexts and representational conventions. Identical predicates</w:t>
      </w:r>
      <w:r>
        <w:t xml:space="preserve"> </w:t>
      </w:r>
      <w:r>
        <w:t xml:space="preserve">can refer to different objects, and a positive claim from one source can be</w:t>
      </w:r>
      <w:r>
        <w:t xml:space="preserve"> </w:t>
      </w:r>
      <w:r>
        <w:t xml:space="preserve">mistakenly merged with a negative claim from another. This report studies only</w:t>
      </w:r>
      <w:r>
        <w:t xml:space="preserve"> </w:t>
      </w:r>
      <w:r>
        <w:t xml:space="preserve">the downstream decision of whether two already-structured scientific</w:t>
      </w:r>
      <w:r>
        <w:t xml:space="preserve"> </w:t>
      </w:r>
      <w:r>
        <w:t xml:space="preserve">projections may be treated as one statement. It does not study retrieval or</w:t>
      </w:r>
      <w:r>
        <w:t xml:space="preserve"> </w:t>
      </w:r>
      <w:r>
        <w:t xml:space="preserve">extraction from raw text.</w:t>
      </w:r>
    </w:p>
    <w:p>
      <w:pPr>
        <w:pStyle w:val="BodyText"/>
      </w:pPr>
      <w:r>
        <w:t xml:space="preserve">Scientific information extraction, schema induction and knowledge-graph</w:t>
      </w:r>
      <w:r>
        <w:t xml:space="preserve"> </w:t>
      </w:r>
      <w:r>
        <w:t xml:space="preserve">construction supply increasingly structured upstream representations</w:t>
      </w:r>
      <w:r>
        <w:t xml:space="preserve"> </w:t>
      </w:r>
      <w:r>
        <w:t xml:space="preserve">(Cohen and Hope 2026; Zhang et al. 2024;</w:t>
      </w:r>
      <w:r>
        <w:t xml:space="preserve"> </w:t>
      </w:r>
      <w:r>
        <w:t xml:space="preserve">D’Souza et al.</w:t>
      </w:r>
      <w:r>
        <w:t xml:space="preserve"> </w:t>
      </w:r>
      <w:r>
        <w:t xml:space="preserve">2026; Hu et al. 2026; Jonnalagedda et al. 2026)</w:t>
      </w:r>
      <w:r>
        <w:t xml:space="preserve">.</w:t>
      </w:r>
      <w:r>
        <w:t xml:space="preserve"> </w:t>
      </w:r>
      <w:r>
        <w:t xml:space="preserve">Ontology matching studies equivalence, subsumption and disjointness</w:t>
      </w:r>
      <w:r>
        <w:t xml:space="preserve"> </w:t>
      </w:r>
      <w:r>
        <w:t xml:space="preserve">(Euzenat and Shvaiko 2007)</w:t>
      </w:r>
      <w:r>
        <w:t xml:space="preserve">; alignment repair also shows that individually</w:t>
      </w:r>
      <w:r>
        <w:t xml:space="preserve"> </w:t>
      </w:r>
      <w:r>
        <w:t xml:space="preserve">plausible correspondences can make a combined ontology incoherent</w:t>
      </w:r>
      <w:r>
        <w:t xml:space="preserve"> </w:t>
      </w:r>
      <w:r>
        <w:t xml:space="preserve">(Santos et al. 2015)</w:t>
      </w:r>
      <w:r>
        <w:t xml:space="preserve">. Ontological unpacking, I-ADOPT and FAIR 2.0 make</w:t>
      </w:r>
      <w:r>
        <w:t xml:space="preserve"> </w:t>
      </w:r>
      <w:r>
        <w:t xml:space="preserve">scientific-variable structure and mapping conditions explicit</w:t>
      </w:r>
      <w:r>
        <w:t xml:space="preserve"> </w:t>
      </w:r>
      <w:r>
        <w:t xml:space="preserve">(Bernasconi et al. 2022; Magagna et al. 2021; Vogt et al. 2025)</w:t>
      </w:r>
      <w:r>
        <w:t xml:space="preserve">.</w:t>
      </w:r>
      <w:r>
        <w:t xml:space="preserve"> </w:t>
      </w:r>
      <w:r>
        <w:t xml:space="preserve">Provenance-bearing statements and target-relative stance further motivate</w:t>
      </w:r>
      <w:r>
        <w:t xml:space="preserve"> </w:t>
      </w:r>
      <w:r>
        <w:t xml:space="preserve">preserving source and polarity rather than collapsing them into a scalar match</w:t>
      </w:r>
      <w:r>
        <w:t xml:space="preserve"> </w:t>
      </w:r>
      <w:r>
        <w:t xml:space="preserve">(Vitali and Pasqual 2026; Hardalov et al. 2022)</w:t>
      </w:r>
      <w:r>
        <w:t xml:space="preserve">. The present contribution is smaller than</w:t>
      </w:r>
      <w:r>
        <w:t xml:space="preserve"> </w:t>
      </w:r>
      <w:r>
        <w:t xml:space="preserve">these extraction, matching and modelling programmes: it tests a claim-relative</w:t>
      </w:r>
      <w:r>
        <w:t xml:space="preserve"> </w:t>
      </w:r>
      <w:r>
        <w:t xml:space="preserve">merge rule only after the source projections have already been constructed.</w:t>
      </w:r>
    </w:p>
    <w:p>
      <w:pPr>
        <w:pStyle w:val="BodyText"/>
      </w:pPr>
      <w:r>
        <w:t xml:space="preserve">The rule records referent, construct, measurement, context, polarity, modality</w:t>
      </w:r>
      <w:r>
        <w:t xml:space="preserve"> </w:t>
      </w:r>
      <w:r>
        <w:t xml:space="preserve">and attribution separately, permits an explicit non-merge decision, and leaves</w:t>
      </w:r>
      <w:r>
        <w:t xml:space="preserve"> </w:t>
      </w:r>
      <w:r>
        <w:t xml:space="preserve">insufficiently supported relations undetermined. We evaluate the rule on a</w:t>
      </w:r>
      <w:r>
        <w:t xml:space="preserve"> </w:t>
      </w:r>
      <w:r>
        <w:t xml:space="preserve">prospectively frozen holdout and report a separate deterministic contract test.</w:t>
      </w:r>
      <w:r>
        <w:t xml:space="preserve"> </w:t>
      </w:r>
      <w:r>
        <w:t xml:space="preserve">This evidence architecture supports a Brief Report: the scientific units are</w:t>
      </w:r>
      <w:r>
        <w:t xml:space="preserve"> </w:t>
      </w:r>
      <w:r>
        <w:t xml:space="preserve">three confirmatory case families and eight unique conformance archetypes; the</w:t>
      </w:r>
      <w:r>
        <w:t xml:space="preserve"> </w:t>
      </w:r>
      <w:r>
        <w:t xml:space="preserve">432 scored rows are not independent scientific observations.</w:t>
      </w:r>
    </w:p>
    <w:bookmarkEnd w:id="9"/>
    <w:bookmarkStart w:id="14" w:name="methods"/>
    <w:p>
      <w:pPr>
        <w:pStyle w:val="Heading1"/>
      </w:pPr>
      <w:r>
        <w:t xml:space="preserve">Methods</w:t>
      </w:r>
    </w:p>
    <w:bookmarkStart w:id="10" w:name="mapping-decisions"/>
    <w:p>
      <w:pPr>
        <w:pStyle w:val="Heading2"/>
      </w:pPr>
      <w:r>
        <w:t xml:space="preserve">Mapping decisions</w:t>
      </w:r>
    </w:p>
    <w:p>
      <w:pPr>
        <w:pStyle w:val="FirstParagraph"/>
      </w:pPr>
      <w:r>
        <w:t xml:space="preserve">For a source record</w:t>
      </w:r>
      <w:r>
        <w:t xml:space="preserve"> </w:t>
      </w:r>
      <m:oMath>
        <m:r>
          <m:t>s</m:t>
        </m:r>
      </m:oMath>
      <w:r>
        <w:t xml:space="preserve">, the structured projection is</w:t>
      </w:r>
    </w:p>
    <w:p>
      <w:pPr>
        <w:pStyle w:val="BodyText"/>
      </w:pPr>
      <m:oMathPara>
        <m:oMathParaPr>
          <m:jc m:val="center"/>
        </m:oMathParaPr>
        <m:oMath>
          <m:sSub>
            <m:e>
              <m:r>
                <m:t>P</m:t>
              </m:r>
            </m:e>
            <m:sub>
              <m:r>
                <m:t>s</m:t>
              </m:r>
            </m:sub>
          </m:sSub>
          <m:r>
            <m:rPr>
              <m:sty m:val="p"/>
            </m:rPr>
            <m:t>=</m:t>
          </m:r>
          <m:r>
            <m:rPr>
              <m:sty m:val="p"/>
            </m:rPr>
            <m:t>⟨</m:t>
          </m:r>
          <m:sSub>
            <m:e>
              <m:r>
                <m:t>R</m:t>
              </m:r>
            </m:e>
            <m:sub>
              <m:r>
                <m:t>s</m:t>
              </m:r>
            </m:sub>
          </m:sSub>
          <m:r>
            <m:rPr>
              <m:sty m:val="p"/>
            </m:rPr>
            <m:t>,</m:t>
          </m:r>
          <m:sSub>
            <m:e>
              <m:r>
                <m:t>C</m:t>
              </m:r>
            </m:e>
            <m:sub>
              <m:r>
                <m:t>s</m:t>
              </m:r>
            </m:sub>
          </m:sSub>
          <m:r>
            <m:rPr>
              <m:sty m:val="p"/>
            </m:rPr>
            <m:t>,</m:t>
          </m:r>
          <m:sSub>
            <m:e>
              <m:r>
                <m:t>M</m:t>
              </m:r>
            </m:e>
            <m:sub>
              <m:r>
                <m:t>s</m:t>
              </m:r>
            </m:sub>
          </m:sSub>
          <m:r>
            <m:rPr>
              <m:sty m:val="p"/>
            </m:rPr>
            <m:t>,</m:t>
          </m:r>
          <m:sSub>
            <m:e>
              <m:r>
                <m:t>X</m:t>
              </m:r>
            </m:e>
            <m:sub>
              <m:r>
                <m:t>s</m:t>
              </m:r>
            </m:sub>
          </m:sSub>
          <m:r>
            <m:rPr>
              <m:sty m:val="p"/>
            </m:rPr>
            <m:t>,</m:t>
          </m:r>
          <m:sSub>
            <m:e>
              <m:r>
                <m:t>ρ</m:t>
              </m:r>
            </m:e>
            <m:sub>
              <m:r>
                <m:t>s</m:t>
              </m:r>
            </m:sub>
          </m:sSub>
          <m:r>
            <m:rPr>
              <m:sty m:val="p"/>
            </m:rPr>
            <m:t>,</m:t>
          </m:r>
          <m:sSub>
            <m:e>
              <m:r>
                <m:t>μ</m:t>
              </m:r>
            </m:e>
            <m:sub>
              <m:r>
                <m:t>s</m:t>
              </m:r>
            </m:sub>
          </m:sSub>
          <m:r>
            <m:rPr>
              <m:sty m:val="p"/>
            </m:rPr>
            <m:t>,</m:t>
          </m:r>
          <m:sSub>
            <m:e>
              <m:r>
                <m:t>a</m:t>
              </m:r>
            </m:e>
            <m:sub>
              <m:r>
                <m:t>s</m:t>
              </m:r>
            </m:sub>
          </m:sSub>
          <m:r>
            <m:rPr>
              <m:sty m:val="p"/>
            </m:rPr>
            <m:t>,</m:t>
          </m:r>
          <m:sSub>
            <m:e>
              <m:r>
                <m:t>δ</m:t>
              </m:r>
            </m:e>
            <m:sub>
              <m:r>
                <m:t>s</m:t>
              </m:r>
            </m:sub>
          </m:sSub>
          <m:r>
            <m:rPr>
              <m:sty m:val="p"/>
            </m:rPr>
            <m:t>,</m:t>
          </m:r>
          <m:sSub>
            <m:e>
              <m:r>
                <m:rPr>
                  <m:sty m:val="p"/>
                </m:rPr>
                <m:t>Π</m:t>
              </m:r>
            </m:e>
            <m:sub>
              <m:r>
                <m:t>s</m:t>
              </m:r>
            </m:sub>
          </m:sSub>
          <m:r>
            <m:rPr>
              <m:sty m:val="p"/>
            </m:rPr>
            <m:t>⟩</m:t>
          </m:r>
          <m:r>
            <m:rPr>
              <m:sty m:val="p"/>
            </m:rPr>
            <m:t>,</m:t>
          </m:r>
        </m:oMath>
      </m:oMathPara>
    </w:p>
    <w:p>
      <w:pPr>
        <w:pStyle w:val="FirstParagraph"/>
      </w:pPr>
      <w:r>
        <w:t xml:space="preserve">where the entries denote referent, construct, measurement, context, polarity,</w:t>
      </w:r>
      <w:r>
        <w:t xml:space="preserve"> </w:t>
      </w:r>
      <w:r>
        <w:t xml:space="preserve">modality, attribution, discourse relation and assumptions or missing</w:t>
      </w:r>
      <w:r>
        <w:t xml:space="preserve"> </w:t>
      </w:r>
      <w:r>
        <w:t xml:space="preserve">information. The evaluated rule returns one of three scientific decisions:</w:t>
      </w:r>
      <w:r>
        <w:t xml:space="preserve"> </w:t>
      </w:r>
      <w:r>
        <w:t xml:space="preserve">admissible merge, typed non-merge, or undetermined. A required incompatibility</w:t>
      </w:r>
      <w:r>
        <w:t xml:space="preserve"> </w:t>
      </w:r>
      <w:r>
        <w:t xml:space="preserve">produces non-merge; a missing load-bearing coordinate produces undetermined.</w:t>
      </w:r>
      <w:r>
        <w:t xml:space="preserve"> </w:t>
      </w:r>
      <w:r>
        <w:t xml:space="preserve">The study does not infer absent coordinates from source text.</w:t>
      </w:r>
    </w:p>
    <w:bookmarkEnd w:id="10"/>
    <w:bookmarkStart w:id="11" w:name="fixed-panels-and-scientific-units"/>
    <w:p>
      <w:pPr>
        <w:pStyle w:val="Heading2"/>
      </w:pPr>
      <w:r>
        <w:t xml:space="preserve">Fixed panels and scientific units</w:t>
      </w:r>
    </w:p>
    <w:p>
      <w:pPr>
        <w:pStyle w:val="FirstParagraph"/>
      </w:pPr>
      <w:r>
        <w:t xml:space="preserve">The development panel and the confirmatory holdout each contain 32</w:t>
      </w:r>
      <w:r>
        <w:t xml:space="preserve"> </w:t>
      </w:r>
      <w:r>
        <w:t xml:space="preserve">already-structured cases assembled from pinned public resources and</w:t>
      </w:r>
      <w:r>
        <w:t xml:space="preserve"> </w:t>
      </w:r>
      <w:r>
        <w:t xml:space="preserve">deterministic standards. The holdout was selected by an outcome-blind</w:t>
      </w:r>
      <w:r>
        <w:t xml:space="preserve"> </w:t>
      </w:r>
      <w:r>
        <w:t xml:space="preserve">round-robin window and shares no case identifiers with development, although</w:t>
      </w:r>
      <w:r>
        <w:t xml:space="preserve"> </w:t>
      </w:r>
      <w:r>
        <w:t xml:space="preserve">two combinations of source locator and content hash recur. Before holdout outputs were</w:t>
      </w:r>
      <w:r>
        <w:t xml:space="preserve"> </w:t>
      </w:r>
      <w:r>
        <w:t xml:space="preserve">examined, the protocol fixed the case digest, source revisions, evaluator</w:t>
      </w:r>
      <w:r>
        <w:t xml:space="preserve"> </w:t>
      </w:r>
      <w:r>
        <w:t xml:space="preserve">identities, bootstrap seed, margins and terminal rule.</w:t>
      </w:r>
    </w:p>
    <w:p>
      <w:pPr>
        <w:pStyle w:val="BodyText"/>
      </w:pPr>
      <w:r>
        <w:t xml:space="preserve">The holdout contains three authored families: 13 different-name/same-referent</w:t>
      </w:r>
      <w:r>
        <w:t xml:space="preserve"> </w:t>
      </w:r>
      <w:r>
        <w:t xml:space="preserve">cases, 13 polarity/modality/attribution/context cases, and six valid/invalid</w:t>
      </w:r>
      <w:r>
        <w:t xml:space="preserve"> </w:t>
      </w:r>
      <w:r>
        <w:t xml:space="preserve">representation-mapping cases. A case is the scoring unit for the registered</w:t>
      </w:r>
      <w:r>
        <w:t xml:space="preserve"> </w:t>
      </w:r>
      <w:r>
        <w:t xml:space="preserve">rates and paired differences. It is not an independent population or</w:t>
      </w:r>
      <w:r>
        <w:t xml:space="preserve"> </w:t>
      </w:r>
      <w:r>
        <w:t xml:space="preserve">cross-domain generalization unit. The three families are the appropriate scale</w:t>
      </w:r>
      <w:r>
        <w:t xml:space="preserve"> </w:t>
      </w:r>
      <w:r>
        <w:t xml:space="preserve">for assessing scientific breadth, and only the second family contains observed</w:t>
      </w:r>
      <w:r>
        <w:t xml:space="preserve"> </w:t>
      </w:r>
      <w:r>
        <w:t xml:space="preserve">between-rule discrimination. The expected decisions, candidate rule and</w:t>
      </w:r>
      <w:r>
        <w:t xml:space="preserve"> </w:t>
      </w:r>
      <w:r>
        <w:t xml:space="preserve">evaluation were produced within the same authorship and research programme.</w:t>
      </w:r>
      <w:r>
        <w:t xml:space="preserve"> </w:t>
      </w:r>
      <w:r>
        <w:t xml:space="preserve">Prospective freezing limits outcome-contingent adaptation but does not turn</w:t>
      </w:r>
      <w:r>
        <w:t xml:space="preserve"> </w:t>
      </w:r>
      <w:r>
        <w:t xml:space="preserve">same-programme gold into independent adjudication.</w:t>
      </w:r>
    </w:p>
    <w:bookmarkEnd w:id="11"/>
    <w:bookmarkStart w:id="12" w:name="comparators-and-analysis"/>
    <w:p>
      <w:pPr>
        <w:pStyle w:val="Heading2"/>
      </w:pPr>
      <w:r>
        <w:t xml:space="preserve">Comparators and analysis</w:t>
      </w:r>
    </w:p>
    <w:p>
      <w:pPr>
        <w:pStyle w:val="FirstParagraph"/>
      </w:pPr>
      <w:r>
        <w:t xml:space="preserve">All rules received the same structured inputs. Flat predicate canonicalization</w:t>
      </w:r>
      <w:r>
        <w:t xml:space="preserve"> </w:t>
      </w:r>
      <w:r>
        <w:t xml:space="preserve">treated compatible predicates as sufficient merge evidence and was the</w:t>
      </w:r>
      <w:r>
        <w:t xml:space="preserve"> </w:t>
      </w:r>
      <w:r>
        <w:t xml:space="preserve">predeclared false-merge comparator. It is intentionally weak and isolates the</w:t>
      </w:r>
      <w:r>
        <w:t xml:space="preserve"> </w:t>
      </w:r>
      <w:r>
        <w:t xml:space="preserve">consequence of removing the registered coordinate condition. The</w:t>
      </w:r>
      <w:r>
        <w:t xml:space="preserve"> </w:t>
      </w:r>
      <w:r>
        <w:t xml:space="preserve">exact-coordinate conservative rule could abstain and served as the false-split</w:t>
      </w:r>
      <w:r>
        <w:t xml:space="preserve"> </w:t>
      </w:r>
      <w:r>
        <w:t xml:space="preserve">control. These rules are not implementations of complete contemporary</w:t>
      </w:r>
      <w:r>
        <w:t xml:space="preserve"> </w:t>
      </w:r>
      <w:r>
        <w:t xml:space="preserve">ontology-matching or integration systems.</w:t>
      </w:r>
    </w:p>
    <w:p>
      <w:pPr>
        <w:pStyle w:val="BodyText"/>
      </w:pPr>
      <w:r>
        <w:t xml:space="preserve">The confirmatory gate had two non-compensatory conditions. The</w:t>
      </w:r>
      <w:r>
        <w:t xml:space="preserve"> </w:t>
      </w:r>
      <w:r>
        <w:t xml:space="preserve">coordinate-governed-minus-flat false-merge estimate had to be at most</w:t>
      </w:r>
      <w:r>
        <w:t xml:space="preserve"> </w:t>
      </w:r>
      <m:oMath>
        <m:r>
          <m:rPr>
            <m:sty m:val="p"/>
          </m:rPr>
          <m:t>−</m:t>
        </m:r>
        <m:r>
          <m:t>0.05</m:t>
        </m:r>
      </m:oMath>
      <w:r>
        <w:t xml:space="preserve"> </w:t>
      </w:r>
      <w:r>
        <w:t xml:space="preserve">with the upper bound of its paired fixed-panel bootstrap diagnostic below zero.</w:t>
      </w:r>
      <w:r>
        <w:t xml:space="preserve"> </w:t>
      </w:r>
      <w:r>
        <w:t xml:space="preserve">The coordinate-governed-minus-conservative false-split estimate had to be at</w:t>
      </w:r>
      <w:r>
        <w:t xml:space="preserve"> </w:t>
      </w:r>
      <w:r>
        <w:t xml:space="preserve">most</w:t>
      </w:r>
      <w:r>
        <w:t xml:space="preserve"> </w:t>
      </w:r>
      <m:oMath>
        <m:r>
          <m:rPr>
            <m:sty m:val="p"/>
          </m:rPr>
          <m:t>+</m:t>
        </m:r>
        <m:r>
          <m:t>0.03</m:t>
        </m:r>
      </m:oMath>
      <w:r>
        <w:t xml:space="preserve"> </w:t>
      </w:r>
      <w:r>
        <w:t xml:space="preserve">with the diagnostic upper bound no greater than</w:t>
      </w:r>
      <w:r>
        <w:t xml:space="preserve"> </w:t>
      </w:r>
      <m:oMath>
        <m:r>
          <m:rPr>
            <m:sty m:val="p"/>
          </m:rPr>
          <m:t>+</m:t>
        </m:r>
        <m:r>
          <m:t>0.03</m:t>
        </m:r>
      </m:oMath>
      <w:r>
        <w:t xml:space="preserve">. Paired</w:t>
      </w:r>
      <w:r>
        <w:t xml:space="preserve"> </w:t>
      </w:r>
      <w:r>
        <w:t xml:space="preserve">diagnostics use 10,000 percentile-bootstrap resamples with seed 20260817. The</w:t>
      </w:r>
      <w:r>
        <w:t xml:space="preserve"> </w:t>
      </w:r>
      <w:r>
        <w:t xml:space="preserve">rules are deterministic, so stochastic repetitions were not manufactured. The</w:t>
      </w:r>
      <w:r>
        <w:t xml:space="preserve"> </w:t>
      </w:r>
      <w:r>
        <w:t xml:space="preserve">development and confirmatory panels are not pooled.</w:t>
      </w:r>
    </w:p>
    <w:bookmarkEnd w:id="12"/>
    <w:bookmarkStart w:id="13" w:name="deterministic-contract-conformance"/>
    <w:p>
      <w:pPr>
        <w:pStyle w:val="Heading2"/>
      </w:pPr>
      <w:r>
        <w:t xml:space="preserve">Deterministic contract conformance</w:t>
      </w:r>
    </w:p>
    <w:p>
      <w:pPr>
        <w:pStyle w:val="FirstParagraph"/>
      </w:pPr>
      <w:r>
        <w:t xml:space="preserve">A separately frozen generator produced 400 records as five domain labels</w:t>
      </w:r>
      <w:r>
        <w:t xml:space="preserve"> </w:t>
      </w:r>
      <m:oMath>
        <m:r>
          <m:rPr>
            <m:sty m:val="p"/>
          </m:rPr>
          <m:t>×</m:t>
        </m:r>
      </m:oMath>
      <w:r>
        <w:t xml:space="preserve"> </w:t>
      </w:r>
      <w:r>
        <w:t xml:space="preserve">eight decision archetypes</w:t>
      </w:r>
      <w:r>
        <w:t xml:space="preserve"> </w:t>
      </w:r>
      <m:oMath>
        <m:r>
          <m:rPr>
            <m:sty m:val="p"/>
          </m:rPr>
          <m:t>×</m:t>
        </m:r>
      </m:oMath>
      <w:r>
        <w:t xml:space="preserve"> </w:t>
      </w:r>
      <w:r>
        <w:t xml:space="preserve">ten identifier variants. Domain</w:t>
      </w:r>
      <w:r>
        <w:t xml:space="preserve"> </w:t>
      </w:r>
      <w:r>
        <w:t xml:space="preserve">and variant change identifiers and commitments but not the candidate-visible</w:t>
      </w:r>
      <w:r>
        <w:t xml:space="preserve"> </w:t>
      </w:r>
      <w:r>
        <w:t xml:space="preserve">decision state. The effective mechanism census is therefore eight unique</w:t>
      </w:r>
      <w:r>
        <w:t xml:space="preserve"> </w:t>
      </w:r>
      <w:r>
        <w:t xml:space="preserve">states, each repeated 50 times. This battery tests deterministic interface and</w:t>
      </w:r>
      <w:r>
        <w:t xml:space="preserve"> </w:t>
      </w:r>
      <w:r>
        <w:t xml:space="preserve">specification conformance; it does not supply 400 independent observations.</w:t>
      </w:r>
    </w:p>
    <w:p>
      <w:pPr>
        <w:pStyle w:val="BodyText"/>
      </w:pPr>
      <w:r>
        <w:t xml:space="preserve">The complete rule can return merge, obstruction, plural view or unresolved.</w:t>
      </w:r>
      <w:r>
        <w:t xml:space="preserve"> </w:t>
      </w:r>
      <w:r>
        <w:t xml:space="preserve">The strong semantic product omits the provenance/plural-view</w:t>
      </w:r>
      <w:r>
        <w:t xml:space="preserve"> </w:t>
      </w:r>
      <w:r>
        <w:t xml:space="preserve">and global-cycle relations and cannot emit plural view; its 250/400 score is</w:t>
      </w:r>
      <w:r>
        <w:t xml:space="preserve"> </w:t>
      </w:r>
      <w:r>
        <w:t xml:space="preserve">therefore an attainability result under that declared interface, not evidence</w:t>
      </w:r>
      <w:r>
        <w:t xml:space="preserve"> </w:t>
      </w:r>
      <w:r>
        <w:t xml:space="preserve">of general capability superiority. Canonical matching uses a binary threshold.</w:t>
      </w:r>
      <w:r>
        <w:t xml:space="preserve"> </w:t>
      </w:r>
      <w:r>
        <w:t xml:space="preserve">The fourth comparator is definitionally information-equivalent to the complete</w:t>
      </w:r>
      <w:r>
        <w:t xml:space="preserve"> </w:t>
      </w:r>
      <w:r>
        <w:t xml:space="preserve">rule and must tie it exactly.</w:t>
      </w:r>
    </w:p>
    <w:bookmarkEnd w:id="13"/>
    <w:bookmarkEnd w:id="14"/>
    <w:bookmarkStart w:id="16" w:name="results"/>
    <w:p>
      <w:pPr>
        <w:pStyle w:val="Heading1"/>
      </w:pPr>
      <w:r>
        <w:t xml:space="preserve">Results</w:t>
      </w:r>
    </w:p>
    <w:p>
      <w:pPr>
        <w:pStyle w:val="FirstParagraph"/>
      </w:pPr>
      <w:r>
        <w:t xml:space="preserve">On the development panel, coordinate-governed mapping made no false merges or</w:t>
      </w:r>
      <w:r>
        <w:t xml:space="preserve"> </w:t>
      </w:r>
      <w:r>
        <w:t xml:space="preserve">false splits; flat canonicalization made four false merges. This outcome</w:t>
      </w:r>
      <w:r>
        <w:t xml:space="preserve"> </w:t>
      </w:r>
      <w:r>
        <w:t xml:space="preserve">motivated the frozen holdout and is not pooled into its verdict.</w:t>
      </w:r>
    </w:p>
    <w:bookmarkStart w:id="15" w:name="tab:results"/>
    <w:p>
      <w:pPr>
        <w:pStyle w:val="TableCaption"/>
      </w:pPr>
      <w:r>
        <w:t xml:space="preserve">Outcomes on the 32-case confirmatory holdout. Rates use one decision</w:t>
      </w:r>
      <w:r>
        <w:t xml:space="preserve"> </w:t>
      </w:r>
      <w:r>
        <w:t xml:space="preserve">per case. The coordinate-governed-minus-flat false-merge difference is</w:t>
      </w:r>
      <w:r>
        <w:t xml:space="preserve"> </w:t>
      </w:r>
      <m:oMath>
        <m:r>
          <m:rPr>
            <m:sty m:val="p"/>
          </m:rPr>
          <m:t>−</m:t>
        </m:r>
        <m:r>
          <m:t>0.1875</m:t>
        </m:r>
      </m:oMath>
      <w:r>
        <w:t xml:space="preserve"> </w:t>
      </w:r>
      <w:r>
        <w:t xml:space="preserve">(fixed-panel 95% bootstrap diagnostic</w:t>
      </w:r>
      <w:r>
        <w:t xml:space="preserve"> </w:t>
      </w:r>
      <m:oMath>
        <m:r>
          <m:rPr>
            <m:sty m:val="p"/>
          </m:rPr>
          <m:t>[</m:t>
        </m:r>
        <m:r>
          <m:rPr>
            <m:sty m:val="p"/>
          </m:rPr>
          <m:t>−</m:t>
        </m:r>
        <m:r>
          <m:t>0.34375</m:t>
        </m:r>
        <m:r>
          <m:rPr>
            <m:sty m:val="p"/>
          </m:rPr>
          <m:t>,</m:t>
        </m:r>
        <m:r>
          <m:rPr>
            <m:sty m:val="p"/>
          </m:rPr>
          <m:t>−</m:t>
        </m:r>
        <m:r>
          <m:t>0.0625</m:t>
        </m:r>
        <m:r>
          <m:rPr>
            <m:sty m:val="p"/>
          </m:rPr>
          <m:t>]</m:t>
        </m:r>
      </m:oMath>
      <w:r>
        <w:t xml:space="preserve">); the false-split difference from the conservative rule is</w:t>
      </w:r>
      <w:r>
        <w:t xml:space="preserve"> </w:t>
      </w:r>
      <w:r>
        <w:t xml:space="preserve">zero, with diagnostic</w:t>
      </w:r>
      <w:r>
        <w:t xml:space="preserve"> </w:t>
      </w:r>
      <m:oMath>
        <m:r>
          <m:rPr>
            <m:sty m:val="p"/>
          </m:rPr>
          <m:t>[</m:t>
        </m:r>
        <m:r>
          <m:t>0</m:t>
        </m:r>
        <m:r>
          <m:rPr>
            <m:sty m:val="p"/>
          </m:rPr>
          <m:t>,</m:t>
        </m:r>
        <m:r>
          <m:t>0</m:t>
        </m:r>
        <m:r>
          <m:rPr>
            <m:sty m:val="p"/>
          </m:rPr>
          <m:t>]</m:t>
        </m:r>
      </m:oMath>
      <w:r>
        <w:t xml:space="preserve">.</w:t>
      </w:r>
    </w:p>
    <w:tbl>
      <w:tblPr>
        <w:tblStyle w:val="Table"/>
        <w:tblW w:type="auto" w:w="0"/>
        <w:tblLook w:firstRow="1" w:lastRow="0" w:firstColumn="0" w:lastColumn="0" w:noHBand="0" w:noVBand="0" w:val="0020"/>
        <w:tblCaption w:val="Outcomes on the 32-case confirmatory holdout. Rates use one decision per case. The coordinate-governed-minus-flat false-merge difference is -0.1875 (fixed-panel 95% bootstrap diagnostic [-0.34375,-0.0625]); the false-split difference from the conservative rule is zero, with diagnostic [0,0]."/>
      </w:tblPr>
      <w:tblGrid>
        <w:gridCol w:w="1584"/>
        <w:gridCol w:w="1584"/>
        <w:gridCol w:w="1584"/>
        <w:gridCol w:w="1584"/>
        <w:gridCol w:w="1584"/>
      </w:tblGrid>
      <w:tr>
        <w:trPr>
          <w:tblHeader w:val="on"/>
        </w:trPr>
        <w:tc>
          <w:tcPr/>
          <w:p>
            <w:pPr>
              <w:pStyle w:val="Compact"/>
              <w:jc w:val="left"/>
            </w:pPr>
            <w:r>
              <w:rPr>
                <w:b/>
                <w:bCs/>
              </w:rPr>
              <w:t xml:space="preserve">Rule</w:t>
            </w:r>
          </w:p>
        </w:tc>
        <w:tc>
          <w:tcPr/>
          <w:p>
            <w:pPr>
              <w:pStyle w:val="Compact"/>
              <w:jc w:val="right"/>
            </w:pPr>
            <w:r>
              <w:rPr>
                <w:b/>
                <w:bCs/>
              </w:rPr>
              <w:t xml:space="preserve">Acc.</w:t>
            </w:r>
          </w:p>
        </w:tc>
        <w:tc>
          <w:tcPr/>
          <w:p>
            <w:pPr>
              <w:pStyle w:val="Compact"/>
              <w:jc w:val="right"/>
            </w:pPr>
            <w:r>
              <w:rPr>
                <w:b/>
                <w:bCs/>
              </w:rPr>
              <w:t xml:space="preserve">False merge</w:t>
            </w:r>
          </w:p>
        </w:tc>
        <w:tc>
          <w:tcPr/>
          <w:p>
            <w:pPr>
              <w:pStyle w:val="Compact"/>
              <w:jc w:val="right"/>
            </w:pPr>
            <w:r>
              <w:rPr>
                <w:b/>
                <w:bCs/>
              </w:rPr>
              <w:t xml:space="preserve">False split</w:t>
            </w:r>
          </w:p>
        </w:tc>
        <w:tc>
          <w:tcPr/>
          <w:p>
            <w:pPr>
              <w:pStyle w:val="Compact"/>
              <w:jc w:val="right"/>
            </w:pPr>
            <w:r>
              <w:rPr>
                <w:b/>
                <w:bCs/>
              </w:rPr>
              <w:t xml:space="preserve">Abstain</w:t>
            </w:r>
          </w:p>
        </w:tc>
      </w:tr>
      <w:tr>
        <w:tc>
          <w:tcPr/>
          <w:p>
            <w:pPr>
              <w:pStyle w:val="Compact"/>
              <w:jc w:val="left"/>
            </w:pPr>
            <w:r>
              <w:t xml:space="preserve">Coordinate-governed</w:t>
            </w:r>
          </w:p>
        </w:tc>
        <w:tc>
          <w:tcPr/>
          <w:p>
            <w:pPr>
              <w:pStyle w:val="Compact"/>
              <w:jc w:val="right"/>
            </w:pPr>
            <w:r>
              <w:t xml:space="preserve">1.0000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Flat canonicalization</w:t>
            </w:r>
          </w:p>
        </w:tc>
        <w:tc>
          <w:tcPr/>
          <w:p>
            <w:pPr>
              <w:pStyle w:val="Compact"/>
              <w:jc w:val="right"/>
            </w:pPr>
            <w:r>
              <w:t xml:space="preserve">0.8125</w:t>
            </w:r>
          </w:p>
        </w:tc>
        <w:tc>
          <w:tcPr/>
          <w:p>
            <w:pPr>
              <w:pStyle w:val="Compact"/>
              <w:jc w:val="right"/>
            </w:pPr>
            <w:r>
              <w:t xml:space="preserve">0.1875</w:t>
            </w:r>
          </w:p>
        </w:tc>
        <w:tc>
          <w:tcPr/>
          <w:p>
            <w:pPr>
              <w:pStyle w:val="Compact"/>
              <w:jc w:val="right"/>
            </w:pPr>
            <w:r>
              <w:t xml:space="preserve">0.0000</w:t>
            </w:r>
          </w:p>
        </w:tc>
        <w:tc>
          <w:tcPr/>
          <w:p>
            <w:pPr>
              <w:pStyle w:val="Compact"/>
              <w:jc w:val="right"/>
            </w:pPr>
            <w:r>
              <w:t xml:space="preserve">0.0000</w:t>
            </w:r>
          </w:p>
        </w:tc>
      </w:tr>
      <w:tr>
        <w:tc>
          <w:tcPr/>
          <w:p>
            <w:pPr>
              <w:pStyle w:val="Compact"/>
              <w:jc w:val="left"/>
            </w:pPr>
            <w:r>
              <w:t xml:space="preserve">Exact conservative</w:t>
            </w:r>
          </w:p>
        </w:tc>
        <w:tc>
          <w:tcPr/>
          <w:p>
            <w:pPr>
              <w:pStyle w:val="Compact"/>
              <w:jc w:val="right"/>
            </w:pPr>
            <w:r>
              <w:t xml:space="preserve">0.8125</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0.1875</w:t>
            </w:r>
          </w:p>
        </w:tc>
      </w:tr>
    </w:tbl>
    <w:bookmarkEnd w:id="15"/>
    <w:p>
      <w:pPr>
        <w:pStyle w:val="BodyText"/>
      </w:pPr>
      <w:r>
        <w:t xml:space="preserve">All six flat-rule false merges were polarity contrasts within the family</w:t>
      </w:r>
      <w:r>
        <w:t xml:space="preserve"> </w:t>
      </w:r>
      <w:r>
        <w:t xml:space="preserve">covering polarity, modality, attribution and context. Every rule was correct in the other two families (19 cases). Forcing compatibility without the non-merge terminal increased</w:t>
      </w:r>
      <w:r>
        <w:t xml:space="preserve"> </w:t>
      </w:r>
      <w:r>
        <w:t xml:space="preserve">the false-merge rate by</w:t>
      </w:r>
      <w:r>
        <w:t xml:space="preserve"> </w:t>
      </w:r>
      <m:oMath>
        <m:r>
          <m:t>0.1875</m:t>
        </m:r>
      </m:oMath>
      <w:r>
        <w:t xml:space="preserve">; removing the modality, polarity, attribution</w:t>
      </w:r>
      <w:r>
        <w:t xml:space="preserve"> </w:t>
      </w:r>
      <w:r>
        <w:t xml:space="preserve">and discourse group produced the same change. Ablations of referent, construct,</w:t>
      </w:r>
      <w:r>
        <w:t xml:space="preserve"> </w:t>
      </w:r>
      <w:r>
        <w:t xml:space="preserve">measurement and temporal context produced zero measured change on this panel.</w:t>
      </w:r>
      <w:r>
        <w:t xml:space="preserve"> </w:t>
      </w:r>
      <w:r>
        <w:t xml:space="preserve">Those nulls indicate absent comparison opportunity, not dispensability.</w:t>
      </w:r>
    </w:p>
    <w:p>
      <w:pPr>
        <w:pStyle w:val="BodyText"/>
      </w:pPr>
      <w:r>
        <w:t xml:space="preserve">A standard-library scorer that imports none of the original analysis code</w:t>
      </w:r>
      <w:r>
        <w:t xml:space="preserve"> </w:t>
      </w:r>
      <w:r>
        <w:t xml:space="preserve">reproduced the holdout decisions and verdict from the frozen records. It shares</w:t>
      </w:r>
      <w:r>
        <w:t xml:space="preserve"> </w:t>
      </w:r>
      <w:r>
        <w:t xml:space="preserve">repository snapshot and custody and is therefore an implementation check, not</w:t>
      </w:r>
      <w:r>
        <w:t xml:space="preserve"> </w:t>
      </w:r>
      <w:r>
        <w:t xml:space="preserve">external replication.</w:t>
      </w:r>
    </w:p>
    <w:p>
      <w:pPr>
        <w:pStyle w:val="BodyText"/>
      </w:pPr>
      <w:r>
        <w:t xml:space="preserve">Across the 400 generated conformance records, the complete rule scored</w:t>
      </w:r>
      <w:r>
        <w:t xml:space="preserve"> </w:t>
      </w:r>
      <w:r>
        <w:t xml:space="preserve">400/400, the strong semantic product 250/400, and canonical matching</w:t>
      </w:r>
      <w:r>
        <w:t xml:space="preserve"> </w:t>
      </w:r>
      <w:r>
        <w:t xml:space="preserve">50/400. The complete-minus-structured difference was</w:t>
      </w:r>
      <w:r>
        <w:t xml:space="preserve"> </w:t>
      </w:r>
      <m:oMath>
        <m:r>
          <m:rPr>
            <m:sty m:val="p"/>
          </m:rPr>
          <m:t>+</m:t>
        </m:r>
        <m:r>
          <m:t>0.375</m:t>
        </m:r>
      </m:oMath>
      <w:r>
        <w:t xml:space="preserve">, with a</w:t>
      </w:r>
      <w:r>
        <w:t xml:space="preserve"> </w:t>
      </w:r>
      <w:r>
        <w:t xml:space="preserve">domain-stratified fixed-battery bootstrap diagnostic of</w:t>
      </w:r>
      <w:r>
        <w:t xml:space="preserve"> </w:t>
      </w:r>
      <m:oMath>
        <m:r>
          <m:rPr>
            <m:sty m:val="p"/>
          </m:rPr>
          <m:t>[</m:t>
        </m:r>
        <m:r>
          <m:t>0.3275</m:t>
        </m:r>
        <m:r>
          <m:rPr>
            <m:sty m:val="p"/>
          </m:rPr>
          <m:t>,</m:t>
        </m:r>
        <m:r>
          <m:t>0.4225</m:t>
        </m:r>
        <m:r>
          <m:rPr>
            <m:sty m:val="p"/>
          </m:rPr>
          <m:t>]</m:t>
        </m:r>
      </m:oMath>
      <w:r>
        <w:t xml:space="preserve"> </w:t>
      </w:r>
      <w:r>
        <w:t xml:space="preserve">and</w:t>
      </w:r>
      <w:r>
        <w:t xml:space="preserve"> </w:t>
      </w:r>
      <w:r>
        <w:t xml:space="preserve">150–0 discordant decisions. The complete rule made zero false merge decisions</w:t>
      </w:r>
      <w:r>
        <w:t xml:space="preserve"> </w:t>
      </w:r>
      <w:r>
        <w:t xml:space="preserve">and retained all clean merges. The information-equivalent typed comparator</w:t>
      </w:r>
      <w:r>
        <w:t xml:space="preserve"> </w:t>
      </w:r>
      <w:r>
        <w:t xml:space="preserve">scored 400/400 with zero decision mismatches. Because these are repetitions of</w:t>
      </w:r>
      <w:r>
        <w:t xml:space="preserve"> </w:t>
      </w:r>
      <w:r>
        <w:t xml:space="preserve">eight authored states, the counts and diagnostics establish exact conformance</w:t>
      </w:r>
      <w:r>
        <w:t xml:space="preserve"> </w:t>
      </w:r>
      <w:r>
        <w:t xml:space="preserve">to the registered interfaces but do not measure population performance.</w:t>
      </w:r>
    </w:p>
    <w:bookmarkEnd w:id="16"/>
    <w:bookmarkStart w:id="17" w:name="discussion"/>
    <w:p>
      <w:pPr>
        <w:pStyle w:val="Heading1"/>
      </w:pPr>
      <w:r>
        <w:t xml:space="preserve">Discussion</w:t>
      </w:r>
    </w:p>
    <w:p>
      <w:pPr>
        <w:pStyle w:val="FirstParagraph"/>
      </w:pPr>
      <w:r>
        <w:t xml:space="preserve">The confirmatory observation is narrow but falsifiable. Keeping polarity and a</w:t>
      </w:r>
      <w:r>
        <w:t xml:space="preserve"> </w:t>
      </w:r>
      <w:r>
        <w:t xml:space="preserve">typed non-merge outcome prevented six false agreements produced when the</w:t>
      </w:r>
      <w:r>
        <w:t xml:space="preserve"> </w:t>
      </w:r>
      <w:r>
        <w:t xml:space="preserve">registered flat rule discarded that condition, while the predeclared</w:t>
      </w:r>
      <w:r>
        <w:t xml:space="preserve"> </w:t>
      </w:r>
      <w:r>
        <w:t xml:space="preserve">false-split guard was satisfied. Insufficient evidence remained distinct from</w:t>
      </w:r>
      <w:r>
        <w:t xml:space="preserve"> </w:t>
      </w:r>
      <w:r>
        <w:t xml:space="preserve">a negative decision. The conformance battery confirms that the deterministic</w:t>
      </w:r>
      <w:r>
        <w:t xml:space="preserve"> </w:t>
      </w:r>
      <w:r>
        <w:t xml:space="preserve">relation is implemented exactly and that an information-equivalent typed</w:t>
      </w:r>
      <w:r>
        <w:t xml:space="preserve"> </w:t>
      </w:r>
      <w:r>
        <w:t xml:space="preserve">implementation reproduces it.</w:t>
      </w:r>
    </w:p>
    <w:p>
      <w:pPr>
        <w:pStyle w:val="BodyText"/>
      </w:pPr>
      <w:r>
        <w:t xml:space="preserve">Several limits determine the interpretation. First, all observed</w:t>
      </w:r>
      <w:r>
        <w:t xml:space="preserve"> </w:t>
      </w:r>
      <w:r>
        <w:t xml:space="preserve">discrimination lies in one authored family; the other 19 holdout cases and four</w:t>
      </w:r>
      <w:r>
        <w:t xml:space="preserve"> </w:t>
      </w:r>
      <w:r>
        <w:t xml:space="preserve">coordinate-ablation cells are null. Second, the comparator that fails on the</w:t>
      </w:r>
      <w:r>
        <w:t xml:space="preserve"> </w:t>
      </w:r>
      <w:r>
        <w:t xml:space="preserve">holdout was designed to be weak, and no strong same-universe external</w:t>
      </w:r>
      <w:r>
        <w:t xml:space="preserve"> </w:t>
      </w:r>
      <w:r>
        <w:t xml:space="preserve">integration system was executed. Third, the holdout is identifier-disjoint but</w:t>
      </w:r>
      <w:r>
        <w:t xml:space="preserve"> </w:t>
      </w:r>
      <w:r>
        <w:t xml:space="preserve">not fully source-disjoint, and its expected decisions and candidate rule remain</w:t>
      </w:r>
      <w:r>
        <w:t xml:space="preserve"> </w:t>
      </w:r>
      <w:r>
        <w:t xml:space="preserve">within one authorship and research programme. Fourth, the 400-record battery contains only</w:t>
      </w:r>
      <w:r>
        <w:t xml:space="preserve"> </w:t>
      </w:r>
      <w:r>
        <w:t xml:space="preserve">eight distinct candidate-visible states, and the strong semantic product</w:t>
      </w:r>
      <w:r>
        <w:t xml:space="preserve"> </w:t>
      </w:r>
      <w:r>
        <w:t xml:space="preserve">has a narrower terminal alphabet. These facts prevent population-like or</w:t>
      </w:r>
      <w:r>
        <w:t xml:space="preserve"> </w:t>
      </w:r>
      <w:r>
        <w:t xml:space="preserve">general-superiority interpretations.</w:t>
      </w:r>
    </w:p>
    <w:p>
      <w:pPr>
        <w:pStyle w:val="BodyText"/>
      </w:pPr>
      <w:r>
        <w:t xml:space="preserve">The report also says nothing about recovering the coordinates from raw text,</w:t>
      </w:r>
      <w:r>
        <w:t xml:space="preserve"> </w:t>
      </w:r>
      <w:r>
        <w:t xml:space="preserve">expert agreement over a broader atlas, naturalistic transport, deployed</w:t>
      </w:r>
      <w:r>
        <w:t xml:space="preserve"> </w:t>
      </w:r>
      <w:r>
        <w:t xml:space="preserve">integration, or downstream answer quality. The result is best read as a small</w:t>
      </w:r>
      <w:r>
        <w:t xml:space="preserve"> </w:t>
      </w:r>
      <w:r>
        <w:t xml:space="preserve">methods observation and an executable interface contract. A broader paper would</w:t>
      </w:r>
      <w:r>
        <w:t xml:space="preserve"> </w:t>
      </w:r>
      <w:r>
        <w:t xml:space="preserve">need independently governed, source-disjoint naturalistic cases, strong</w:t>
      </w:r>
      <w:r>
        <w:t xml:space="preserve"> </w:t>
      </w:r>
      <w:r>
        <w:t xml:space="preserve">same-universe comparators at matched information, and evaluation of raw-text or</w:t>
      </w:r>
      <w:r>
        <w:t xml:space="preserve"> </w:t>
      </w:r>
      <w:r>
        <w:t xml:space="preserve">downstream use. Those optional successors are not required for this Brief</w:t>
      </w:r>
      <w:r>
        <w:t xml:space="preserve"> </w:t>
      </w:r>
      <w:r>
        <w:t xml:space="preserve">Report and are not represented as completed evidence.</w:t>
      </w:r>
    </w:p>
    <w:bookmarkEnd w:id="17"/>
    <w:bookmarkStart w:id="19" w:name="data-and-software-availability"/>
    <w:p>
      <w:pPr>
        <w:pStyle w:val="Heading1"/>
      </w:pPr>
      <w:r>
        <w:t xml:space="preserve">Data and software availability</w:t>
      </w:r>
    </w:p>
    <w:p>
      <w:pPr>
        <w:pStyle w:val="FirstParagraph"/>
      </w:pPr>
      <w:r>
        <w:t xml:space="preserve">The frozen case records, source registry, protocols, deterministic analyses and</w:t>
      </w:r>
      <w:r>
        <w:t xml:space="preserve"> </w:t>
      </w:r>
      <w:r>
        <w:t xml:space="preserve">independent implementation check are available in the public ORION repository</w:t>
      </w:r>
      <w:r>
        <w:t xml:space="preserve"> </w:t>
      </w:r>
      <w:r>
        <w:t xml:space="preserve">snapshot at commit</w:t>
      </w:r>
      <w:r>
        <w:t xml:space="preserve"> </w:t>
      </w:r>
      <w:r>
        <w:rPr>
          <w:rStyle w:val="VerbatimChar"/>
        </w:rPr>
        <w:t xml:space="preserve">3813e6495</w:t>
      </w:r>
      <w:r>
        <w:t xml:space="preserve">:</w:t>
      </w:r>
      <w:r>
        <w:t xml:space="preserve"> </w:t>
      </w:r>
      <w:hyperlink r:id="rId18">
        <w:r>
          <w:rPr>
            <w:rStyle w:val="Hyperlink"/>
          </w:rPr>
          <w:t xml:space="preserve">https://github.com/SzeChunYiu/ORION/tree/3813e64955f03926b0276e50c21b9a65154ad3db/papers/orion-13-global-knowledge-portrait</w:t>
        </w:r>
      </w:hyperlink>
      <w:r>
        <w:t xml:space="preserve">.</w:t>
      </w:r>
      <w:r>
        <w:t xml:space="preserve"> </w:t>
      </w:r>
      <w:r>
        <w:t xml:space="preserve">That snapshot contains the confirmatory records, contract generator, frozen</w:t>
      </w:r>
      <w:r>
        <w:t xml:space="preserve"> </w:t>
      </w:r>
      <w:r>
        <w:t xml:space="preserve">protocol, results and independent verification. Code is licensed under</w:t>
      </w:r>
      <w:r>
        <w:t xml:space="preserve"> </w:t>
      </w:r>
      <w:r>
        <w:t xml:space="preserve">Apache-2.0 and manuscript text under the Creative Commons Attribution 4.0</w:t>
      </w:r>
      <w:r>
        <w:t xml:space="preserve"> </w:t>
      </w:r>
      <w:r>
        <w:t xml:space="preserve">International licence; upstream resource licences remain controlling.</w:t>
      </w:r>
      <w:r>
        <w:t xml:space="preserve"> </w:t>
      </w:r>
      <w:r>
        <w:t xml:space="preserve">Restricted third-party text is not redistributed. A repository DOI may be</w:t>
      </w:r>
      <w:r>
        <w:t xml:space="preserve"> </w:t>
      </w:r>
      <w:r>
        <w:t xml:space="preserve">added after long-term deposit; none is asserted in this version.</w:t>
      </w:r>
    </w:p>
    <w:bookmarkEnd w:id="19"/>
    <w:bookmarkStart w:id="20" w:name="ethics-and-consent"/>
    <w:p>
      <w:pPr>
        <w:pStyle w:val="Heading1"/>
      </w:pPr>
      <w:r>
        <w:t xml:space="preserve">Ethics and consent</w:t>
      </w:r>
    </w:p>
    <w:p>
      <w:pPr>
        <w:pStyle w:val="FirstParagraph"/>
      </w:pPr>
      <w:r>
        <w:t xml:space="preserve">Not applicable. This computational study involved no human participants,</w:t>
      </w:r>
      <w:r>
        <w:t xml:space="preserve"> </w:t>
      </w:r>
      <w:r>
        <w:t xml:space="preserve">personal data or animals.</w:t>
      </w:r>
    </w:p>
    <w:bookmarkEnd w:id="20"/>
    <w:bookmarkStart w:id="21" w:name="author-contributions"/>
    <w:p>
      <w:pPr>
        <w:pStyle w:val="Heading1"/>
      </w:pPr>
      <w:r>
        <w:t xml:space="preserve">Author contributions</w:t>
      </w:r>
    </w:p>
    <w:p>
      <w:pPr>
        <w:pStyle w:val="FirstParagraph"/>
      </w:pPr>
      <w:r>
        <w:t xml:space="preserve">Sze Chun Yiu: conceptualization, methodology, software, validation, formal</w:t>
      </w:r>
      <w:r>
        <w:t xml:space="preserve"> </w:t>
      </w:r>
      <w:r>
        <w:t xml:space="preserve">analysis, investigation, data curation, writing, visualization and project</w:t>
      </w:r>
      <w:r>
        <w:t xml:space="preserve"> </w:t>
      </w:r>
      <w:r>
        <w:t xml:space="preserve">administration.</w:t>
      </w:r>
    </w:p>
    <w:bookmarkEnd w:id="21"/>
    <w:bookmarkStart w:id="22" w:name="competing-interests"/>
    <w:p>
      <w:pPr>
        <w:pStyle w:val="Heading1"/>
      </w:pPr>
      <w:r>
        <w:t xml:space="preserve">Competing interests</w:t>
      </w:r>
    </w:p>
    <w:p>
      <w:pPr>
        <w:pStyle w:val="FirstParagraph"/>
      </w:pPr>
      <w:r>
        <w:t xml:space="preserve">No competing interests were disclosed.</w:t>
      </w:r>
    </w:p>
    <w:bookmarkEnd w:id="22"/>
    <w:bookmarkStart w:id="23" w:name="grant-information"/>
    <w:p>
      <w:pPr>
        <w:pStyle w:val="Heading1"/>
      </w:pPr>
      <w:r>
        <w:t xml:space="preserve">Grant information</w:t>
      </w:r>
    </w:p>
    <w:p>
      <w:pPr>
        <w:pStyle w:val="FirstParagraph"/>
      </w:pPr>
      <w:r>
        <w:t xml:space="preserve">The author declared that no grants were involved in supporting this work.</w:t>
      </w:r>
    </w:p>
    <w:bookmarkEnd w:id="23"/>
    <w:bookmarkStart w:id="24" w:name="acknowledgements"/>
    <w:p>
      <w:pPr>
        <w:pStyle w:val="Heading1"/>
      </w:pPr>
      <w:r>
        <w:t xml:space="preserve">Acknowledgements</w:t>
      </w:r>
    </w:p>
    <w:p>
      <w:pPr>
        <w:pStyle w:val="FirstParagraph"/>
      </w:pPr>
      <w:r>
        <w:t xml:space="preserve">OpenAI Codex was used for language and structural revision,</w:t>
      </w:r>
      <w:r>
        <w:t xml:space="preserve"> </w:t>
      </w:r>
      <w:r>
        <w:t xml:space="preserve">literature-search assistance and preparation of submission files. The author</w:t>
      </w:r>
      <w:r>
        <w:t xml:space="preserve"> </w:t>
      </w:r>
      <w:r>
        <w:t xml:space="preserve">checked the claims, sources, analyses and final wording and retains</w:t>
      </w:r>
      <w:r>
        <w:t xml:space="preserve"> </w:t>
      </w:r>
      <w:r>
        <w:t xml:space="preserve">responsibility for the article. No generative AI tool produced research data.</w:t>
      </w:r>
    </w:p>
    <w:bookmarkEnd w:id="24"/>
    <w:bookmarkStart w:id="50" w:name="references"/>
    <w:p>
      <w:pPr>
        <w:pStyle w:val="Heading1"/>
      </w:pPr>
      <w:r>
        <w:t xml:space="preserve">References</w:t>
      </w:r>
    </w:p>
    <w:bookmarkStart w:id="49" w:name="refs"/>
    <w:bookmarkStart w:id="26" w:name="ref-bernasconi2022interoperability"/>
    <w:p>
      <w:pPr>
        <w:pStyle w:val="Bibliography"/>
      </w:pPr>
      <w:r>
        <w:t xml:space="preserve">Bernasconi, Anna, Giancarlo Guizzardi, Oscar Pastor, and Veda C. Storey. 2022.</w:t>
      </w:r>
      <w:r>
        <w:t xml:space="preserve"> </w:t>
      </w:r>
      <w:r>
        <w:t xml:space="preserve">“Semantic Interoperability: Ontological Unpacking of a Viral Conceptual Model.”</w:t>
      </w:r>
      <w:r>
        <w:t xml:space="preserve"> </w:t>
      </w:r>
      <w:r>
        <w:rPr>
          <w:i/>
          <w:iCs/>
        </w:rPr>
        <w:t xml:space="preserve">BMC Bioinformatics</w:t>
      </w:r>
      <w:r>
        <w:t xml:space="preserve"> </w:t>
      </w:r>
      <w:r>
        <w:t xml:space="preserve">23 (S11): 491.</w:t>
      </w:r>
      <w:r>
        <w:t xml:space="preserve"> </w:t>
      </w:r>
      <w:hyperlink r:id="rId25">
        <w:r>
          <w:rPr>
            <w:rStyle w:val="Hyperlink"/>
          </w:rPr>
          <w:t xml:space="preserve">https://doi.org/10.1186/s12859-022-05022-0</w:t>
        </w:r>
      </w:hyperlink>
      <w:r>
        <w:t xml:space="preserve">.</w:t>
      </w:r>
    </w:p>
    <w:bookmarkEnd w:id="26"/>
    <w:bookmarkStart w:id="28" w:name="ref-muse2026"/>
    <w:p>
      <w:pPr>
        <w:pStyle w:val="Bibliography"/>
      </w:pPr>
      <w:r>
        <w:t xml:space="preserve">Cohen, Tsofia, and Tom Hope. 2026.</w:t>
      </w:r>
      <w:r>
        <w:t xml:space="preserve"> </w:t>
      </w:r>
      <w:r>
        <w:t xml:space="preserve">“</w:t>
      </w:r>
      <w:r>
        <w:t xml:space="preserve">MUSE</w:t>
      </w:r>
      <w:r>
        <w:t xml:space="preserve">: A Full-Text Cross-Domain Knowledge Base of Scientific Problems, Solutions, and Rationales.”</w:t>
      </w:r>
      <w:r>
        <w:t xml:space="preserve"> </w:t>
      </w:r>
      <w:r>
        <w:rPr>
          <w:i/>
          <w:iCs/>
        </w:rPr>
        <w:t xml:space="preserve">arXiv Preprint arXiv:2608.10974</w:t>
      </w:r>
      <w:r>
        <w:t xml:space="preserve">, ahead of print.</w:t>
      </w:r>
      <w:r>
        <w:t xml:space="preserve"> </w:t>
      </w:r>
      <w:hyperlink r:id="rId27">
        <w:r>
          <w:rPr>
            <w:rStyle w:val="Hyperlink"/>
          </w:rPr>
          <w:t xml:space="preserve">https://doi.org/10.48550/arXiv.2608.10974</w:t>
        </w:r>
      </w:hyperlink>
      <w:r>
        <w:t xml:space="preserve">.</w:t>
      </w:r>
    </w:p>
    <w:bookmarkEnd w:id="28"/>
    <w:bookmarkStart w:id="30" w:name="ref-scischema2026"/>
    <w:p>
      <w:pPr>
        <w:pStyle w:val="Bibliography"/>
      </w:pPr>
      <w:r>
        <w:t xml:space="preserve">D’Souza, Jennifer et al.</w:t>
      </w:r>
      <w:r>
        <w:t xml:space="preserve"> 2026.</w:t>
      </w:r>
      <w:r>
        <w:t xml:space="preserve"> </w:t>
      </w:r>
      <w:r>
        <w:t xml:space="preserve">“SciSchema.org: A Multidisciplinary Collection of Schemas for Structured Scientific Process Descriptions.”</w:t>
      </w:r>
      <w:r>
        <w:t xml:space="preserve"> </w:t>
      </w:r>
      <w:r>
        <w:rPr>
          <w:i/>
          <w:iCs/>
        </w:rPr>
        <w:t xml:space="preserve">arXiv Preprint arXiv:2607.27955</w:t>
      </w:r>
      <w:r>
        <w:t xml:space="preserve">, ahead of print.</w:t>
      </w:r>
      <w:r>
        <w:t xml:space="preserve"> </w:t>
      </w:r>
      <w:hyperlink r:id="rId29">
        <w:r>
          <w:rPr>
            <w:rStyle w:val="Hyperlink"/>
          </w:rPr>
          <w:t xml:space="preserve">https://doi.org/10.48550/arXiv.2607.27955</w:t>
        </w:r>
      </w:hyperlink>
      <w:r>
        <w:t xml:space="preserve">.</w:t>
      </w:r>
    </w:p>
    <w:bookmarkEnd w:id="30"/>
    <w:bookmarkStart w:id="32" w:name="ref-euzenat2007ontology"/>
    <w:p>
      <w:pPr>
        <w:pStyle w:val="Bibliography"/>
      </w:pPr>
      <w:r>
        <w:t xml:space="preserve">Euzenat, Jérôme, and Pavel Shvaiko. 2007.</w:t>
      </w:r>
      <w:r>
        <w:t xml:space="preserve"> </w:t>
      </w:r>
      <w:r>
        <w:rPr>
          <w:i/>
          <w:iCs/>
        </w:rPr>
        <w:t xml:space="preserve">Ontology Matching</w:t>
      </w:r>
      <w:r>
        <w:t xml:space="preserve">. 1st ed. Springer Berlin Heidelberg.</w:t>
      </w:r>
      <w:r>
        <w:t xml:space="preserve"> </w:t>
      </w:r>
      <w:hyperlink r:id="rId31">
        <w:r>
          <w:rPr>
            <w:rStyle w:val="Hyperlink"/>
          </w:rPr>
          <w:t xml:space="preserve">https://doi.org/10.1007/978-3-540-49612-0</w:t>
        </w:r>
      </w:hyperlink>
      <w:r>
        <w:t xml:space="preserve">.</w:t>
      </w:r>
    </w:p>
    <w:bookmarkEnd w:id="32"/>
    <w:bookmarkStart w:id="34" w:name="ref-hardalov2022stance"/>
    <w:p>
      <w:pPr>
        <w:pStyle w:val="Bibliography"/>
      </w:pPr>
      <w:r>
        <w:t xml:space="preserve">Hardalov, Momchil, Arnav Arora, Preslav Nakov, and Isabelle Augenstein. 2022.</w:t>
      </w:r>
      <w:r>
        <w:t xml:space="preserve"> </w:t>
      </w:r>
      <w:r>
        <w:t xml:space="preserve">“A Survey on Stance Detection for Mis- and Disinformation Identification.”</w:t>
      </w:r>
      <w:r>
        <w:t xml:space="preserve"> </w:t>
      </w:r>
      <w:r>
        <w:rPr>
          <w:i/>
          <w:iCs/>
        </w:rPr>
        <w:t xml:space="preserve">Findings of the Association for Computational Linguistics: NAACL 2022</w:t>
      </w:r>
      <w:r>
        <w:t xml:space="preserve">, 1259–77.</w:t>
      </w:r>
      <w:r>
        <w:t xml:space="preserve"> </w:t>
      </w:r>
      <w:hyperlink r:id="rId33">
        <w:r>
          <w:rPr>
            <w:rStyle w:val="Hyperlink"/>
          </w:rPr>
          <w:t xml:space="preserve">https://doi.org/10.18653/v1/2022.findings-naacl.94</w:t>
        </w:r>
      </w:hyperlink>
      <w:r>
        <w:t xml:space="preserve">.</w:t>
      </w:r>
    </w:p>
    <w:bookmarkEnd w:id="34"/>
    <w:bookmarkStart w:id="36" w:name="ref-scopes2026"/>
    <w:p>
      <w:pPr>
        <w:pStyle w:val="Bibliography"/>
      </w:pPr>
      <w:r>
        <w:t xml:space="preserve">Hu, Miaobo, Xiaobo Guo, Shuhao Hu, et al. 2026.</w:t>
      </w:r>
      <w:r>
        <w:t xml:space="preserve"> </w:t>
      </w:r>
      <w:r>
        <w:t xml:space="preserve">“</w:t>
      </w:r>
      <w:r>
        <w:t xml:space="preserve">SCOPE</w:t>
      </w:r>
      <w:r>
        <w:t xml:space="preserve"> </w:t>
      </w:r>
      <w:r>
        <w:t xml:space="preserve">and</w:t>
      </w:r>
      <w:r>
        <w:t xml:space="preserve"> </w:t>
      </w:r>
      <w:r>
        <w:t xml:space="preserve">SCION</w:t>
      </w:r>
      <w:r>
        <w:t xml:space="preserve">: A Benchmark and an Auditable Reference Pipeline for Schema Induction and Fusion from Text.”</w:t>
      </w:r>
      <w:r>
        <w:t xml:space="preserve"> </w:t>
      </w:r>
      <w:r>
        <w:rPr>
          <w:i/>
          <w:iCs/>
        </w:rPr>
        <w:t xml:space="preserve">arXiv Preprint arXiv:2607.21610</w:t>
      </w:r>
      <w:r>
        <w:t xml:space="preserve">, ahead of print.</w:t>
      </w:r>
      <w:r>
        <w:t xml:space="preserve"> </w:t>
      </w:r>
      <w:hyperlink r:id="rId35">
        <w:r>
          <w:rPr>
            <w:rStyle w:val="Hyperlink"/>
          </w:rPr>
          <w:t xml:space="preserve">https://doi.org/10.48550/arXiv.2607.21610</w:t>
        </w:r>
      </w:hyperlink>
      <w:r>
        <w:t xml:space="preserve">.</w:t>
      </w:r>
    </w:p>
    <w:bookmarkEnd w:id="36"/>
    <w:bookmarkStart w:id="38" w:name="ref-schemaContracts2026"/>
    <w:p>
      <w:pPr>
        <w:pStyle w:val="Bibliography"/>
      </w:pPr>
      <w:r>
        <w:t xml:space="preserve">Jonnalagedda, Padmaja, Yuguang Yao, Xiang Gao, Hilaf Hasson, and Kamalika Das. 2026.</w:t>
      </w:r>
      <w:r>
        <w:t xml:space="preserve"> </w:t>
      </w:r>
      <w:r>
        <w:t xml:space="preserve">“Executable Schema Contracts: From Automatic Ingestion to Multi-Source Retrieval.”</w:t>
      </w:r>
      <w:r>
        <w:t xml:space="preserve"> </w:t>
      </w:r>
      <w:r>
        <w:rPr>
          <w:i/>
          <w:iCs/>
        </w:rPr>
        <w:t xml:space="preserve">arXiv Preprint arXiv:2606.05415</w:t>
      </w:r>
      <w:r>
        <w:t xml:space="preserve">, ahead of print.</w:t>
      </w:r>
      <w:r>
        <w:t xml:space="preserve"> </w:t>
      </w:r>
      <w:hyperlink r:id="rId37">
        <w:r>
          <w:rPr>
            <w:rStyle w:val="Hyperlink"/>
          </w:rPr>
          <w:t xml:space="preserve">https://doi.org/10.48550/arXiv.2606.05415</w:t>
        </w:r>
      </w:hyperlink>
      <w:r>
        <w:t xml:space="preserve">.</w:t>
      </w:r>
    </w:p>
    <w:bookmarkEnd w:id="38"/>
    <w:bookmarkStart w:id="40" w:name="ref-iadopt2021"/>
    <w:p>
      <w:pPr>
        <w:pStyle w:val="Bibliography"/>
      </w:pPr>
      <w:r>
        <w:t xml:space="preserve">Magagna, Barbara, Ilaria Rosati, Maria Stoica, et al. 2021.</w:t>
      </w:r>
      <w:r>
        <w:t xml:space="preserve"> </w:t>
      </w:r>
      <w:r>
        <w:t xml:space="preserve">“The i-ADOPT Interoperability Framework for FAIRer Data Descriptions of Biodiversity.”</w:t>
      </w:r>
      <w:r>
        <w:t xml:space="preserve"> </w:t>
      </w:r>
      <w:r>
        <w:rPr>
          <w:i/>
          <w:iCs/>
        </w:rPr>
        <w:t xml:space="preserve">arXiv Preprint arXiv:2107.06547</w:t>
      </w:r>
      <w:r>
        <w:t xml:space="preserve">.</w:t>
      </w:r>
      <w:r>
        <w:t xml:space="preserve"> </w:t>
      </w:r>
      <w:hyperlink r:id="rId39">
        <w:r>
          <w:rPr>
            <w:rStyle w:val="Hyperlink"/>
          </w:rPr>
          <w:t xml:space="preserve">https://arxiv.org/abs/2107.06547</w:t>
        </w:r>
      </w:hyperlink>
      <w:r>
        <w:t xml:space="preserve">.</w:t>
      </w:r>
    </w:p>
    <w:bookmarkEnd w:id="40"/>
    <w:bookmarkStart w:id="42" w:name="ref-santos2015alignment"/>
    <w:p>
      <w:pPr>
        <w:pStyle w:val="Bibliography"/>
      </w:pPr>
      <w:r>
        <w:t xml:space="preserve">Santos, Emanuel, Daniel Faria, Catia Pesquita, and Francisco M. Couto. 2015.</w:t>
      </w:r>
      <w:r>
        <w:t xml:space="preserve"> </w:t>
      </w:r>
      <w:r>
        <w:t xml:space="preserve">“Ontology Alignment Repair Through Modularization and Confidence-Based Heuristics.”</w:t>
      </w:r>
      <w:r>
        <w:t xml:space="preserve"> </w:t>
      </w:r>
      <w:r>
        <w:rPr>
          <w:i/>
          <w:iCs/>
        </w:rPr>
        <w:t xml:space="preserve">PLOS ONE</w:t>
      </w:r>
      <w:r>
        <w:t xml:space="preserve"> </w:t>
      </w:r>
      <w:r>
        <w:t xml:space="preserve">10 (12): e0144807.</w:t>
      </w:r>
      <w:r>
        <w:t xml:space="preserve"> </w:t>
      </w:r>
      <w:hyperlink r:id="rId41">
        <w:r>
          <w:rPr>
            <w:rStyle w:val="Hyperlink"/>
          </w:rPr>
          <w:t xml:space="preserve">https://doi.org/10.1371/journal.pone.0144807</w:t>
        </w:r>
      </w:hyperlink>
      <w:r>
        <w:t xml:space="preserve">.</w:t>
      </w:r>
    </w:p>
    <w:bookmarkEnd w:id="42"/>
    <w:bookmarkStart w:id="44" w:name="ref-dec2026"/>
    <w:p>
      <w:pPr>
        <w:pStyle w:val="Bibliography"/>
      </w:pPr>
      <w:r>
        <w:t xml:space="preserve">Vitali, Fabio, and Valentina Pasqual. 2026.</w:t>
      </w:r>
      <w:r>
        <w:t xml:space="preserve"> </w:t>
      </w:r>
      <w:r>
        <w:t xml:space="preserve">“Provenance-Enhanced Statements in Knowledge Graphs.”</w:t>
      </w:r>
      <w:r>
        <w:t xml:space="preserve"> </w:t>
      </w:r>
      <w:r>
        <w:rPr>
          <w:i/>
          <w:iCs/>
        </w:rPr>
        <w:t xml:space="preserve">arXiv Preprint arXiv:2606.15246</w:t>
      </w:r>
      <w:r>
        <w:t xml:space="preserve">, ahead of print.</w:t>
      </w:r>
      <w:r>
        <w:t xml:space="preserve"> </w:t>
      </w:r>
      <w:hyperlink r:id="rId43">
        <w:r>
          <w:rPr>
            <w:rStyle w:val="Hyperlink"/>
          </w:rPr>
          <w:t xml:space="preserve">https://doi.org/10.48550/arXiv.2606.15246</w:t>
        </w:r>
      </w:hyperlink>
      <w:r>
        <w:t xml:space="preserve">.</w:t>
      </w:r>
    </w:p>
    <w:bookmarkEnd w:id="44"/>
    <w:bookmarkStart w:id="46" w:name="ref-fair2_2024"/>
    <w:p>
      <w:pPr>
        <w:pStyle w:val="Bibliography"/>
      </w:pPr>
      <w:r>
        <w:t xml:space="preserve">Vogt, Lars, Philip Strömert, Nicolas Matentzoglu, et al. 2025.</w:t>
      </w:r>
      <w:r>
        <w:t xml:space="preserve"> </w:t>
      </w:r>
      <w:r>
        <w:t xml:space="preserve">“Suggestions for Extending the</w:t>
      </w:r>
      <w:r>
        <w:t xml:space="preserve"> </w:t>
      </w:r>
      <w:r>
        <w:t xml:space="preserve">FAIR</w:t>
      </w:r>
      <w:r>
        <w:t xml:space="preserve"> </w:t>
      </w:r>
      <w:r>
        <w:t xml:space="preserve">Principles Based on a Linguistic Perspective on Semantic Interoperability.”</w:t>
      </w:r>
      <w:r>
        <w:t xml:space="preserve"> </w:t>
      </w:r>
      <w:r>
        <w:rPr>
          <w:i/>
          <w:iCs/>
        </w:rPr>
        <w:t xml:space="preserve">Scientific Data</w:t>
      </w:r>
      <w:r>
        <w:t xml:space="preserve"> </w:t>
      </w:r>
      <w:r>
        <w:t xml:space="preserve">12: 688.</w:t>
      </w:r>
      <w:r>
        <w:t xml:space="preserve"> </w:t>
      </w:r>
      <w:hyperlink r:id="rId45">
        <w:r>
          <w:rPr>
            <w:rStyle w:val="Hyperlink"/>
          </w:rPr>
          <w:t xml:space="preserve">https://doi.org/10.1038/s41597-025-05011-x</w:t>
        </w:r>
      </w:hyperlink>
      <w:r>
        <w:t xml:space="preserve">.</w:t>
      </w:r>
    </w:p>
    <w:bookmarkEnd w:id="46"/>
    <w:bookmarkStart w:id="48" w:name="ref-scier2024"/>
    <w:p>
      <w:pPr>
        <w:pStyle w:val="Bibliography"/>
      </w:pPr>
      <w:r>
        <w:t xml:space="preserve">Zhang, Qi, Zhijia Chen, Huitong Pan, Cornelia Caragea, Longin Jan Latecki, and Eduard Dragut. 2024.</w:t>
      </w:r>
      <w:r>
        <w:t xml:space="preserve"> </w:t>
      </w:r>
      <w:r>
        <w:t xml:space="preserve">“</w:t>
      </w:r>
      <w:r>
        <w:t xml:space="preserve">SciER</w:t>
      </w:r>
      <w:r>
        <w:t xml:space="preserve">: An Entity and Relation Extraction Dataset for Datasets, Methods, and Tasks in Scientific Documents.”</w:t>
      </w:r>
      <w:r>
        <w:t xml:space="preserve"> </w:t>
      </w:r>
      <w:r>
        <w:rPr>
          <w:i/>
          <w:iCs/>
        </w:rPr>
        <w:t xml:space="preserve">Proceedings of the 2024 Conference on Empirical Methods in Natural Language Processing</w:t>
      </w:r>
      <w:r>
        <w:t xml:space="preserve">, 13083–100.</w:t>
      </w:r>
      <w:r>
        <w:t xml:space="preserve"> </w:t>
      </w:r>
      <w:hyperlink r:id="rId47">
        <w:r>
          <w:rPr>
            <w:rStyle w:val="Hyperlink"/>
          </w:rPr>
          <w:t xml:space="preserve">https://doi.org/10.18653/v1/2024.emnlp-main.726</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arxiv.org/abs/2107.06547" TargetMode="External" /><Relationship Type="http://schemas.openxmlformats.org/officeDocument/2006/relationships/hyperlink" Id="rId31" Target="https://doi.org/10.1007/978-3-540-49612-0" TargetMode="External" /><Relationship Type="http://schemas.openxmlformats.org/officeDocument/2006/relationships/hyperlink" Id="rId45" Target="https://doi.org/10.1038/s41597-025-05011-x" TargetMode="External" /><Relationship Type="http://schemas.openxmlformats.org/officeDocument/2006/relationships/hyperlink" Id="rId25" Target="https://doi.org/10.1186/s12859-022-05022-0" TargetMode="External" /><Relationship Type="http://schemas.openxmlformats.org/officeDocument/2006/relationships/hyperlink" Id="rId41" Target="https://doi.org/10.1371/journal.pone.0144807" TargetMode="External" /><Relationship Type="http://schemas.openxmlformats.org/officeDocument/2006/relationships/hyperlink" Id="rId33" Target="https://doi.org/10.18653/v1/2022.findings-naacl.94" TargetMode="External" /><Relationship Type="http://schemas.openxmlformats.org/officeDocument/2006/relationships/hyperlink" Id="rId47" Target="https://doi.org/10.18653/v1/2024.emnlp-main.726" TargetMode="External" /><Relationship Type="http://schemas.openxmlformats.org/officeDocument/2006/relationships/hyperlink" Id="rId37" Target="https://doi.org/10.48550/arXiv.2606.05415" TargetMode="External" /><Relationship Type="http://schemas.openxmlformats.org/officeDocument/2006/relationships/hyperlink" Id="rId43" Target="https://doi.org/10.48550/arXiv.2606.15246" TargetMode="External" /><Relationship Type="http://schemas.openxmlformats.org/officeDocument/2006/relationships/hyperlink" Id="rId35" Target="https://doi.org/10.48550/arXiv.2607.21610" TargetMode="External" /><Relationship Type="http://schemas.openxmlformats.org/officeDocument/2006/relationships/hyperlink" Id="rId29" Target="https://doi.org/10.48550/arXiv.2607.27955" TargetMode="External" /><Relationship Type="http://schemas.openxmlformats.org/officeDocument/2006/relationships/hyperlink" Id="rId27" Target="https://doi.org/10.48550/arXiv.2608.10974" TargetMode="External" /><Relationship Type="http://schemas.openxmlformats.org/officeDocument/2006/relationships/hyperlink" Id="rId18" Target="https://github.com/SzeChunYiu/ORION/tree/3813e64955f03926b0276e50c21b9a65154ad3db/papers/orion-13-global-knowledge-portrait" TargetMode="External" /></Relationships>
</file>

<file path=word/_rels/footnotes.xml.rels><?xml version="1.0" encoding="UTF-8"?><Relationships xmlns="http://schemas.openxmlformats.org/package/2006/relationships"><Relationship Type="http://schemas.openxmlformats.org/officeDocument/2006/relationships/hyperlink" Id="rId39" Target="https://arxiv.org/abs/2107.06547" TargetMode="External" /><Relationship Type="http://schemas.openxmlformats.org/officeDocument/2006/relationships/hyperlink" Id="rId31" Target="https://doi.org/10.1007/978-3-540-49612-0" TargetMode="External" /><Relationship Type="http://schemas.openxmlformats.org/officeDocument/2006/relationships/hyperlink" Id="rId45" Target="https://doi.org/10.1038/s41597-025-05011-x" TargetMode="External" /><Relationship Type="http://schemas.openxmlformats.org/officeDocument/2006/relationships/hyperlink" Id="rId25" Target="https://doi.org/10.1186/s12859-022-05022-0" TargetMode="External" /><Relationship Type="http://schemas.openxmlformats.org/officeDocument/2006/relationships/hyperlink" Id="rId41" Target="https://doi.org/10.1371/journal.pone.0144807" TargetMode="External" /><Relationship Type="http://schemas.openxmlformats.org/officeDocument/2006/relationships/hyperlink" Id="rId33" Target="https://doi.org/10.18653/v1/2022.findings-naacl.94" TargetMode="External" /><Relationship Type="http://schemas.openxmlformats.org/officeDocument/2006/relationships/hyperlink" Id="rId47" Target="https://doi.org/10.18653/v1/2024.emnlp-main.726" TargetMode="External" /><Relationship Type="http://schemas.openxmlformats.org/officeDocument/2006/relationships/hyperlink" Id="rId37" Target="https://doi.org/10.48550/arXiv.2606.05415" TargetMode="External" /><Relationship Type="http://schemas.openxmlformats.org/officeDocument/2006/relationships/hyperlink" Id="rId43" Target="https://doi.org/10.48550/arXiv.2606.15246" TargetMode="External" /><Relationship Type="http://schemas.openxmlformats.org/officeDocument/2006/relationships/hyperlink" Id="rId35" Target="https://doi.org/10.48550/arXiv.2607.21610" TargetMode="External" /><Relationship Type="http://schemas.openxmlformats.org/officeDocument/2006/relationships/hyperlink" Id="rId29" Target="https://doi.org/10.48550/arXiv.2607.27955" TargetMode="External" /><Relationship Type="http://schemas.openxmlformats.org/officeDocument/2006/relationships/hyperlink" Id="rId27" Target="https://doi.org/10.48550/arXiv.2608.10974" TargetMode="External" /><Relationship Type="http://schemas.openxmlformats.org/officeDocument/2006/relationships/hyperlink" Id="rId18" Target="https://github.com/SzeChunYiu/ORION/tree/3813e64955f03926b0276e50c21b9a65154ad3db/papers/orion-13-global-knowledge-portr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Coordinate-Governed Mapping of Source-Local Scientific Projections: A Fixed-Panel Study</dc:title>
  <dc:creator>Sze Chun Yiu Stockholm University sze-chun.yiu@fysik.su.se</dc:creator>
  <cp:keywords>semantic interoperability; knowledge representation; evidence provenance; scientific mapping</cp:keywords>
  <dcterms:created xsi:type="dcterms:W3CDTF">2026-09-01T12:00:00Z</dcterms:created>
  <dcterms:modified xsi:type="dcterms:W3CDTF">2026-09-01T12:00:00Z</dcterms:modified>
  <dc:subject>F1000Research Brief Report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Scientific statements can appear to agree after their polarity, measurement, context or provenance has been discarded. We test a small decision-layer rule that keeps those coordinates explicit when mapping already-structured scientific projections.Methods. An initial 32-case panel motivated a prospectively frozen, case-identifier-disjoint 32-case holdout spanning three authored case families. We compared coordinate-governed mapping with flat predicate canonicalization and an exact-coordinate conservative rule. Bootstrap intervals are descriptive diagnostics for this fixed panel, not population uncertainty. A separate deterministic conformance battery contains 400 generated records instantiating eight unique decision archetypes across five labels and ten identifier variants.Results. On the holdout, coordinate-governed mapping made no false merges, whereas flat canonicalization made six of 32 (difference -0.1875; fixed-panel 95% bootstrap diagnostic [-0.34375,-0.0625]). All six errors were polarity contrasts; the other two families (19 cases) did not discriminate the rules. The false-split difference from the conservative rule was zero. In the conformance battery, the complete rule scored 400/400, the strong semantic product 250/400, and canonical matching 50/400. An information-equivalent typed implementation also scored 400/400.Conclusions. These panels support a bounded observation: retaining polarity and an explicit non-merge terminal avoids the six false agreements created by the registered flat rule. They do not establish population error rates, superiority over deployed integration systems, the independent value of every coordinate, raw-text extraction performance or downstream scientific utility.</vt:lpwstr>
  </property>
  <property fmtid="{D5CDD505-2E9C-101B-9397-08002B2CF9AE}" pid="3" name="bibliography">
    <vt:lpwstr>bibliography.bib</vt:lpwstr>
  </property>
  <property fmtid="{D5CDD505-2E9C-101B-9397-08002B2CF9AE}" pid="4" name="date">
    <vt:lpwstr>1 September 2026</vt:lpwstr>
  </property>
</Properties>
</file>