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r w:rsidRPr="000873B3">
        <w:rPr>
          <w:rFonts w:ascii="Times New Roman" w:hAnsi="Times New Roman" w:cs="Times New Roman"/>
          <w:sz w:val="48"/>
        </w:rPr>
        <w:t>Lego</w:t>
      </w:r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A1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B6C570" wp14:editId="29C12837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franchise-ba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:rsidR="00A11F4A" w:rsidRDefault="00A11F4A">
      <w:pPr>
        <w:rPr>
          <w:rFonts w:ascii="Times New Roman" w:hAnsi="Times New Roman" w:cs="Times New Roman"/>
          <w:sz w:val="24"/>
        </w:rPr>
      </w:pPr>
    </w:p>
    <w:p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</w:p>
    <w:p w:rsidR="0023396C" w:rsidRPr="0023396C" w:rsidRDefault="007A2A90" w:rsidP="0023396C">
      <w:pPr>
        <w:pStyle w:val="Cmsor2"/>
      </w:pPr>
      <w:r>
        <w:tab/>
        <w:t>Nulladik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:rsidTr="00EC706F">
        <w:tc>
          <w:tcPr>
            <w:tcW w:w="7827" w:type="dxa"/>
            <w:gridSpan w:val="6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:rsidTr="00870D2D">
        <w:tc>
          <w:tcPr>
            <w:tcW w:w="1207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870D2D" w:rsidRPr="00162AAF" w:rsidRDefault="00870D2D" w:rsidP="00870D2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870D2D" w:rsidRDefault="00870D2D" w:rsidP="00870D2D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870D2D" w:rsidRDefault="00870D2D" w:rsidP="00870D2D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:rsidTr="0047749A">
        <w:trPr>
          <w:jc w:val="center"/>
        </w:trPr>
        <w:tc>
          <w:tcPr>
            <w:tcW w:w="2798" w:type="dxa"/>
            <w:gridSpan w:val="2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:rsidTr="00870D2D">
        <w:trPr>
          <w:jc w:val="center"/>
        </w:trPr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:rsidR="00870D2D" w:rsidRDefault="00870D2D" w:rsidP="00870D2D"/>
    <w:p w:rsidR="0023396C" w:rsidRDefault="007A2A90" w:rsidP="0023396C">
      <w:pPr>
        <w:pStyle w:val="Cmsor2"/>
      </w:pPr>
      <w:r>
        <w:tab/>
        <w:t>Első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9"/>
        <w:gridCol w:w="2383"/>
        <w:gridCol w:w="904"/>
        <w:gridCol w:w="898"/>
        <w:gridCol w:w="1533"/>
        <w:gridCol w:w="1288"/>
        <w:gridCol w:w="1062"/>
        <w:gridCol w:w="1202"/>
        <w:gridCol w:w="975"/>
        <w:gridCol w:w="1255"/>
        <w:gridCol w:w="1643"/>
      </w:tblGrid>
      <w:tr w:rsidR="009D5A7A" w:rsidTr="00D32849">
        <w:tc>
          <w:tcPr>
            <w:tcW w:w="7827" w:type="dxa"/>
            <w:gridSpan w:val="6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013773" w:rsidRDefault="00013773" w:rsidP="00D32849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Bekre Pál</w:t>
            </w:r>
          </w:p>
        </w:tc>
        <w:tc>
          <w:tcPr>
            <w:tcW w:w="1219" w:type="dxa"/>
          </w:tcPr>
          <w:p w:rsidR="00013773" w:rsidRDefault="00B379FC" w:rsidP="00D32849">
            <w:pPr>
              <w:jc w:val="center"/>
            </w:pPr>
            <w:hyperlink r:id="rId9" w:history="1">
              <w:r w:rsidR="0001377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</w:t>
            </w:r>
            <w:r w:rsidR="00013773" w:rsidRPr="00162AAF">
              <w:rPr>
                <w:color w:val="FF0000"/>
              </w:rPr>
              <w:t>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1219" w:type="dxa"/>
          </w:tcPr>
          <w:p w:rsidR="00013773" w:rsidRDefault="00B379FC" w:rsidP="00D32849">
            <w:pPr>
              <w:jc w:val="center"/>
            </w:pPr>
            <w:hyperlink r:id="rId10" w:history="1">
              <w:r w:rsidR="0001377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1219" w:type="dxa"/>
          </w:tcPr>
          <w:p w:rsidR="00013773" w:rsidRDefault="00B379FC" w:rsidP="00D32849">
            <w:pPr>
              <w:jc w:val="center"/>
            </w:pPr>
            <w:hyperlink r:id="rId11" w:history="1">
              <w:r w:rsidR="0001377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Mász Kálmán</w:t>
            </w:r>
          </w:p>
        </w:tc>
        <w:tc>
          <w:tcPr>
            <w:tcW w:w="1219" w:type="dxa"/>
          </w:tcPr>
          <w:p w:rsidR="00013773" w:rsidRDefault="00B379FC" w:rsidP="00D32849">
            <w:pPr>
              <w:jc w:val="center"/>
            </w:pPr>
            <w:hyperlink r:id="rId12" w:history="1">
              <w:r w:rsidR="0001377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:rsidR="0000480D" w:rsidRDefault="0000480D" w:rsidP="00013773"/>
    <w:p w:rsidR="0000480D" w:rsidRDefault="0000480D" w:rsidP="0000480D">
      <w:r>
        <w:br w:type="page"/>
      </w:r>
      <w:bookmarkStart w:id="0" w:name="_GoBack"/>
      <w:bookmarkEnd w:id="0"/>
    </w:p>
    <w:p w:rsidR="00013773" w:rsidRDefault="00013773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:rsidTr="00D32849">
        <w:trPr>
          <w:jc w:val="center"/>
        </w:trPr>
        <w:tc>
          <w:tcPr>
            <w:tcW w:w="2798" w:type="dxa"/>
            <w:gridSpan w:val="2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Botanical collection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false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Icons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Friends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:rsidR="00013773" w:rsidRDefault="00AE6B2B" w:rsidP="00AE6B2B">
            <w:pPr>
              <w:jc w:val="center"/>
            </w:pPr>
            <w:r>
              <w:t>The Lord of The Rings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450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gízai nagy piramis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Architecture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:rsidR="00780E53" w:rsidRDefault="00780E53" w:rsidP="00780E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80E53" w:rsidRDefault="00780E53" w:rsidP="00780E53">
      <w:pPr>
        <w:pStyle w:val="Cmsor2"/>
        <w:ind w:firstLine="708"/>
      </w:pPr>
      <w:r>
        <w:t>Második</w:t>
      </w:r>
    </w:p>
    <w:p w:rsidR="00780E53" w:rsidRDefault="00780E53" w:rsidP="004F71AE">
      <w:pPr>
        <w:jc w:val="center"/>
        <w:rPr>
          <w:b/>
        </w:rPr>
        <w:sectPr w:rsidR="00780E53" w:rsidSect="00A11F4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1093" w:type="dxa"/>
        <w:tblLook w:val="04A0" w:firstRow="1" w:lastRow="0" w:firstColumn="1" w:lastColumn="0" w:noHBand="0" w:noVBand="1"/>
      </w:tblPr>
      <w:tblGrid>
        <w:gridCol w:w="837"/>
        <w:gridCol w:w="2342"/>
        <w:gridCol w:w="891"/>
        <w:gridCol w:w="885"/>
        <w:gridCol w:w="1508"/>
        <w:gridCol w:w="1267"/>
      </w:tblGrid>
      <w:tr w:rsidR="00780E53" w:rsidRPr="00870D2D" w:rsidTr="00780E53">
        <w:tc>
          <w:tcPr>
            <w:tcW w:w="9109" w:type="dxa"/>
            <w:gridSpan w:val="6"/>
          </w:tcPr>
          <w:p w:rsidR="00780E53" w:rsidRPr="00870D2D" w:rsidRDefault="00780E53" w:rsidP="004F71AE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Alkalmazott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Név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Telefonszám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Bekre Pál</w:t>
            </w:r>
          </w:p>
        </w:tc>
        <w:tc>
          <w:tcPr>
            <w:tcW w:w="2501" w:type="dxa"/>
          </w:tcPr>
          <w:p w:rsidR="00780E53" w:rsidRDefault="00B379FC" w:rsidP="004F71AE">
            <w:pPr>
              <w:jc w:val="center"/>
            </w:pPr>
            <w:hyperlink r:id="rId13" w:history="1">
              <w:r w:rsidR="00780E5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+36 30 345 7534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Pis Imre</w:t>
            </w:r>
          </w:p>
        </w:tc>
        <w:tc>
          <w:tcPr>
            <w:tcW w:w="2501" w:type="dxa"/>
          </w:tcPr>
          <w:p w:rsidR="00780E53" w:rsidRDefault="00B379FC" w:rsidP="004F71AE">
            <w:pPr>
              <w:jc w:val="center"/>
            </w:pPr>
            <w:hyperlink r:id="rId14" w:history="1">
              <w:r w:rsidR="00780E5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+36 70 182 5832 </w:t>
            </w:r>
          </w:p>
        </w:tc>
      </w:tr>
      <w:tr w:rsidR="00780E53" w:rsidTr="00780E53">
        <w:tc>
          <w:tcPr>
            <w:tcW w:w="1207" w:type="dxa"/>
          </w:tcPr>
          <w:p w:rsidR="00780E53" w:rsidRDefault="00B96ACD" w:rsidP="004F71AE">
            <w:pPr>
              <w:jc w:val="center"/>
            </w:pPr>
            <w:r>
              <w:t>Techn</w:t>
            </w:r>
            <w:r w:rsidR="00780E53">
              <w:t>o Kolos</w:t>
            </w:r>
          </w:p>
        </w:tc>
        <w:tc>
          <w:tcPr>
            <w:tcW w:w="2501" w:type="dxa"/>
          </w:tcPr>
          <w:p w:rsidR="00780E53" w:rsidRDefault="00B379FC" w:rsidP="004F71AE">
            <w:pPr>
              <w:jc w:val="center"/>
            </w:pPr>
            <w:hyperlink r:id="rId15" w:history="1">
              <w:r w:rsidR="00780E5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+36 20 754 4382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Mász Kálmán</w:t>
            </w:r>
          </w:p>
        </w:tc>
        <w:tc>
          <w:tcPr>
            <w:tcW w:w="2501" w:type="dxa"/>
          </w:tcPr>
          <w:p w:rsidR="00780E53" w:rsidRDefault="00B379FC" w:rsidP="004F71AE">
            <w:pPr>
              <w:jc w:val="center"/>
            </w:pPr>
            <w:hyperlink r:id="rId16" w:history="1">
              <w:r w:rsidR="00780E5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+36 20 123 6938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Vicc Elek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+36 70 834 3467 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1180"/>
        <w:gridCol w:w="1256"/>
        <w:gridCol w:w="1169"/>
        <w:gridCol w:w="1311"/>
        <w:gridCol w:w="1721"/>
      </w:tblGrid>
      <w:tr w:rsidR="00780E53" w:rsidRPr="00870D2D" w:rsidTr="00780E53">
        <w:tc>
          <w:tcPr>
            <w:tcW w:w="6637" w:type="dxa"/>
            <w:gridSpan w:val="5"/>
          </w:tcPr>
          <w:p w:rsidR="00780E53" w:rsidRPr="00870D2D" w:rsidRDefault="00780E53" w:rsidP="00780E53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ÁHM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ÉpitésiÉv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Település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Bevétel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2.700.000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2014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Győr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108.000.000.000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2.850.000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1956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Debrecen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114.000.000.000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2.500.000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2008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Nyíregyháza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3.000.000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Pécs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3.100.000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1942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Sopron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124.000.000.000</w:t>
            </w:r>
          </w:p>
        </w:tc>
      </w:tr>
    </w:tbl>
    <w:p w:rsidR="00780E53" w:rsidRDefault="00780E53" w:rsidP="00780E53"/>
    <w:p w:rsidR="00780E53" w:rsidRDefault="00780E53" w:rsidP="00780E53">
      <w:r>
        <w:br w:type="page"/>
      </w:r>
    </w:p>
    <w:tbl>
      <w:tblPr>
        <w:tblStyle w:val="Rcsostblzat"/>
        <w:tblpPr w:leftFromText="141" w:rightFromText="141" w:vertAnchor="text" w:horzAnchor="margin" w:tblpY="224"/>
        <w:tblW w:w="9067" w:type="dxa"/>
        <w:tblLook w:val="04A0" w:firstRow="1" w:lastRow="0" w:firstColumn="1" w:lastColumn="0" w:noHBand="0" w:noVBand="1"/>
      </w:tblPr>
      <w:tblGrid>
        <w:gridCol w:w="1051"/>
        <w:gridCol w:w="1283"/>
        <w:gridCol w:w="941"/>
        <w:gridCol w:w="1201"/>
        <w:gridCol w:w="1398"/>
        <w:gridCol w:w="663"/>
        <w:gridCol w:w="1331"/>
        <w:gridCol w:w="1199"/>
      </w:tblGrid>
      <w:tr w:rsidR="00B96ACD" w:rsidRPr="00870D2D" w:rsidTr="00B96ACD">
        <w:tc>
          <w:tcPr>
            <w:tcW w:w="9067" w:type="dxa"/>
            <w:gridSpan w:val="8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Szett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KiadásiÉv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Név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Ár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Forgalomban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DB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Téma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Kor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Apró cserepes növények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758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Botanical collection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2024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Jégmadár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false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834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Icons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Homokfutó móka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3.690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Friends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4+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Gyűrűk Ura Völgyzugoly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6167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The Lord of The Rings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2022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gízai nagy piramis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59.990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1476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Architecture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</w:tbl>
    <w:tbl>
      <w:tblPr>
        <w:tblStyle w:val="Rcsostblzat"/>
        <w:tblpPr w:leftFromText="141" w:rightFromText="141" w:vertAnchor="page" w:horzAnchor="page" w:tblpX="11671" w:tblpY="1411"/>
        <w:tblW w:w="0" w:type="auto"/>
        <w:tblLook w:val="04A0" w:firstRow="1" w:lastRow="0" w:firstColumn="1" w:lastColumn="0" w:noHBand="0" w:noVBand="1"/>
      </w:tblPr>
      <w:tblGrid>
        <w:gridCol w:w="1399"/>
        <w:gridCol w:w="1399"/>
      </w:tblGrid>
      <w:tr w:rsidR="00B96ACD" w:rsidRPr="00870D2D" w:rsidTr="00B96ACD">
        <w:tc>
          <w:tcPr>
            <w:tcW w:w="2798" w:type="dxa"/>
            <w:gridSpan w:val="2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ÁHE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600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450</w:t>
            </w:r>
          </w:p>
        </w:tc>
      </w:tr>
    </w:tbl>
    <w:p w:rsidR="00B96ACD" w:rsidRDefault="00B96ACD" w:rsidP="00780E53">
      <w:pPr>
        <w:sectPr w:rsidR="00B96ACD" w:rsidSect="00780E53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:rsidR="0044624B" w:rsidRDefault="0044624B" w:rsidP="0044624B">
      <w:pPr>
        <w:pStyle w:val="Cmsor2"/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4624B" w:rsidRDefault="0044624B" w:rsidP="00B96ACD">
      <w:pPr>
        <w:sectPr w:rsidR="0044624B" w:rsidSect="00B96ACD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B96ACD" w:rsidRDefault="0044624B" w:rsidP="0044624B">
      <w:pPr>
        <w:pStyle w:val="Cmsor1"/>
      </w:pPr>
      <w:r>
        <w:lastRenderedPageBreak/>
        <w:t>Feladatok:</w:t>
      </w:r>
    </w:p>
    <w:p w:rsidR="0044624B" w:rsidRDefault="0044624B" w:rsidP="0044624B">
      <w:pPr>
        <w:pStyle w:val="Cmsor2"/>
      </w:pPr>
      <w:r>
        <w:t>Könnyű:</w:t>
      </w:r>
    </w:p>
    <w:p w:rsidR="0044624B" w:rsidRDefault="0044624B" w:rsidP="0044624B">
      <w:r>
        <w:t>Listázd ki azokat az embereket, akiknek a fizetése nagyobb 510.000Ft!</w:t>
      </w:r>
    </w:p>
    <w:p w:rsidR="0044624B" w:rsidRDefault="0044624B" w:rsidP="0044624B">
      <w:r>
        <w:t>Listázd ki azokat a gyárokat amelyeket 2012-ben építettek!</w:t>
      </w:r>
    </w:p>
    <w:p w:rsidR="0044624B" w:rsidRDefault="0044624B" w:rsidP="0044624B">
      <w:r>
        <w:t>Listázd ki azokat a szetteket amelyek forgalomban vannak név szerint növekvő sorrendben!</w:t>
      </w:r>
    </w:p>
    <w:p w:rsidR="0044624B" w:rsidRDefault="00AD01C2" w:rsidP="0044624B">
      <w:r>
        <w:t>Töröld azokat az alkalmazottakat akik 1960 előtt születtek!</w:t>
      </w:r>
    </w:p>
    <w:p w:rsidR="00AD01C2" w:rsidRDefault="00AD01C2" w:rsidP="0044624B">
      <w:r>
        <w:t>Listázd ki azoknak a gyáraknak a nevét amelyeknek az átlag havi megrendelése (ÁHM) nagyobb mint 3.000.000!</w:t>
      </w:r>
    </w:p>
    <w:p w:rsidR="00AD01C2" w:rsidRDefault="00AD01C2" w:rsidP="00AD01C2">
      <w:pPr>
        <w:pStyle w:val="Cmsor2"/>
      </w:pPr>
      <w:r>
        <w:t>Közepes:</w:t>
      </w:r>
    </w:p>
    <w:p w:rsidR="00AD01C2" w:rsidRDefault="00AD01C2" w:rsidP="00AD01C2">
      <w:r>
        <w:t>Listázd ki azoknak az alkalmazottaknak a nevét akik nincsenek beosztva sehova nev szerint csökkenőben!</w:t>
      </w:r>
    </w:p>
    <w:p w:rsidR="00AD01C2" w:rsidRDefault="00AD01C2" w:rsidP="00AD01C2">
      <w:r>
        <w:t>Töröld azokat a gyártási sorokat ahol a gyártás ára nagyobb mint 12.000 és az átlag havi megrendelés kisebb mint 10!</w:t>
      </w:r>
    </w:p>
    <w:p w:rsidR="00AD01C2" w:rsidRDefault="00AD01C2" w:rsidP="00AD01C2">
      <w:r>
        <w:t>Növeld meg a fizetését annak aki 10 évnél többet dolgozott itt! (Feltételezzük hogy 18 éves kora óta dolgozik itt mindenki.)</w:t>
      </w:r>
    </w:p>
    <w:p w:rsidR="00000AB0" w:rsidRDefault="00000AB0" w:rsidP="00AD01C2">
      <w:r>
        <w:t>Listázd ki azokat az alkalmazottakat akik forgalmon kívül lévő szetteket is gyártottak!</w:t>
      </w:r>
    </w:p>
    <w:p w:rsidR="00000AB0" w:rsidRDefault="00000AB0" w:rsidP="00AD01C2">
      <w:r>
        <w:t>Add meg mennyi fizetést kapnak a Debrecenben dolgozók!</w:t>
      </w:r>
    </w:p>
    <w:p w:rsidR="00000AB0" w:rsidRDefault="00000AB0" w:rsidP="00000AB0">
      <w:pPr>
        <w:pStyle w:val="Cmsor2"/>
      </w:pPr>
      <w:r>
        <w:t>Nehéz:</w:t>
      </w:r>
    </w:p>
    <w:p w:rsidR="00000AB0" w:rsidRDefault="00000AB0" w:rsidP="00000AB0">
      <w:r>
        <w:t>Add meg az Nyíregyházán dolgozó 70-es telefonszámmal rendelkező alkalmazottak email címét!</w:t>
      </w:r>
    </w:p>
    <w:p w:rsidR="00000AB0" w:rsidRDefault="00000AB0" w:rsidP="00000AB0">
      <w:r>
        <w:t>Add meg a pécsen készülő forgalomban nem lévő szettek nevét!</w:t>
      </w:r>
    </w:p>
    <w:p w:rsidR="00000AB0" w:rsidRDefault="00000AB0" w:rsidP="00000AB0">
      <w:r>
        <w:t>Add meg melyik lego szettek korosztály van 12 felett és ÁHE-je nagyobb 500-nál (egyedieket csak)!</w:t>
      </w:r>
    </w:p>
    <w:p w:rsidR="00000AB0" w:rsidRPr="00000AB0" w:rsidRDefault="00917600" w:rsidP="00000AB0">
      <w:r>
        <w:t>10</w:t>
      </w:r>
    </w:p>
    <w:p w:rsidR="00AD01C2" w:rsidRPr="00AD01C2" w:rsidRDefault="00AD01C2" w:rsidP="00AD01C2"/>
    <w:sectPr w:rsidR="00AD01C2" w:rsidRPr="00AD01C2" w:rsidSect="0044624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4A" w:rsidRDefault="00A11F4A" w:rsidP="00A11F4A">
      <w:pPr>
        <w:spacing w:after="0" w:line="240" w:lineRule="auto"/>
      </w:pPr>
      <w:r>
        <w:separator/>
      </w:r>
    </w:p>
  </w:endnote>
  <w:end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4A" w:rsidRDefault="00A11F4A" w:rsidP="00A11F4A">
      <w:pPr>
        <w:spacing w:after="0" w:line="240" w:lineRule="auto"/>
      </w:pPr>
      <w:r>
        <w:separator/>
      </w:r>
    </w:p>
  </w:footnote>
  <w:foot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1450"/>
    <w:multiLevelType w:val="hybridMultilevel"/>
    <w:tmpl w:val="7AC44E22"/>
    <w:lvl w:ilvl="0" w:tplc="058C1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00AB0"/>
    <w:rsid w:val="0000480D"/>
    <w:rsid w:val="00013773"/>
    <w:rsid w:val="000873B3"/>
    <w:rsid w:val="000C72FC"/>
    <w:rsid w:val="00162AAF"/>
    <w:rsid w:val="0023396C"/>
    <w:rsid w:val="002D66FC"/>
    <w:rsid w:val="0044624B"/>
    <w:rsid w:val="00680B54"/>
    <w:rsid w:val="00780E53"/>
    <w:rsid w:val="00793074"/>
    <w:rsid w:val="007A2A90"/>
    <w:rsid w:val="00870D2D"/>
    <w:rsid w:val="00917600"/>
    <w:rsid w:val="009D5A7A"/>
    <w:rsid w:val="00A11F4A"/>
    <w:rsid w:val="00A4098F"/>
    <w:rsid w:val="00AD01C2"/>
    <w:rsid w:val="00AE6B2B"/>
    <w:rsid w:val="00B379FC"/>
    <w:rsid w:val="00B96ACD"/>
    <w:rsid w:val="00DA103E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DBA271D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4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ekre.pa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sz.kalman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sz.kalma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no.kolo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chno.kolos@gmail.com" TargetMode="External"/><Relationship Id="rId10" Type="http://schemas.openxmlformats.org/officeDocument/2006/relationships/hyperlink" Target="mailto:pis.imr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kre.pal@gmail.com" TargetMode="External"/><Relationship Id="rId14" Type="http://schemas.openxmlformats.org/officeDocument/2006/relationships/hyperlink" Target="mailto:pis.imre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7AB1F-EF56-49CC-A6B5-7BCECF08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693</Words>
  <Characters>4785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Szebelédi Zoltán</cp:lastModifiedBy>
  <cp:revision>14</cp:revision>
  <dcterms:created xsi:type="dcterms:W3CDTF">2024-02-19T11:52:00Z</dcterms:created>
  <dcterms:modified xsi:type="dcterms:W3CDTF">2024-04-08T11:25:00Z</dcterms:modified>
</cp:coreProperties>
</file>