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Pr="00162AAF" w:rsidRDefault="00870D2D" w:rsidP="00870D2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"/>
        <w:gridCol w:w="2383"/>
        <w:gridCol w:w="904"/>
        <w:gridCol w:w="898"/>
        <w:gridCol w:w="1533"/>
        <w:gridCol w:w="1288"/>
        <w:gridCol w:w="1062"/>
        <w:gridCol w:w="1202"/>
        <w:gridCol w:w="975"/>
        <w:gridCol w:w="1255"/>
        <w:gridCol w:w="1643"/>
      </w:tblGrid>
      <w:tr w:rsidR="009D5A7A" w:rsidTr="00D32849">
        <w:tc>
          <w:tcPr>
            <w:tcW w:w="7827" w:type="dxa"/>
            <w:gridSpan w:val="6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013773" w:rsidRDefault="00013773" w:rsidP="00D32849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249" w:type="dxa"/>
          </w:tcPr>
          <w:p w:rsidR="00013773" w:rsidRDefault="00013773" w:rsidP="00D32849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013773" w:rsidRDefault="00013773" w:rsidP="00D32849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013773" w:rsidRDefault="00013773" w:rsidP="00D32849">
            <w:pPr>
              <w:jc w:val="center"/>
            </w:pPr>
            <w:r>
              <w:t>Bevétel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Bekre Pál</w:t>
            </w:r>
          </w:p>
        </w:tc>
        <w:tc>
          <w:tcPr>
            <w:tcW w:w="1219" w:type="dxa"/>
          </w:tcPr>
          <w:p w:rsidR="00013773" w:rsidRDefault="00162AAF" w:rsidP="00D32849">
            <w:pPr>
              <w:jc w:val="center"/>
            </w:pPr>
            <w:hyperlink r:id="rId8" w:history="1">
              <w:r w:rsidR="0001377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>+36 30 345 7534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2.700.000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</w:t>
            </w:r>
            <w:r w:rsidR="00013773" w:rsidRPr="00162AAF">
              <w:rPr>
                <w:color w:val="FF0000"/>
              </w:rPr>
              <w:t>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2014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Győr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108.000.000.000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Pis Imre</w:t>
            </w:r>
          </w:p>
        </w:tc>
        <w:tc>
          <w:tcPr>
            <w:tcW w:w="1219" w:type="dxa"/>
          </w:tcPr>
          <w:p w:rsidR="00013773" w:rsidRDefault="00162AAF" w:rsidP="00D32849">
            <w:pPr>
              <w:jc w:val="center"/>
            </w:pPr>
            <w:hyperlink r:id="rId9" w:history="1">
              <w:r w:rsidR="0001377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+36 70 182 5832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2.850.000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1956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Debrecen</w:t>
            </w:r>
          </w:p>
        </w:tc>
        <w:tc>
          <w:tcPr>
            <w:tcW w:w="1237" w:type="dxa"/>
          </w:tcPr>
          <w:p w:rsidR="00013773" w:rsidRDefault="009D5A7A" w:rsidP="009D5A7A">
            <w:pPr>
              <w:jc w:val="center"/>
            </w:pPr>
            <w:r>
              <w:t>114.000.000.000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Techno Kolos</w:t>
            </w:r>
          </w:p>
        </w:tc>
        <w:tc>
          <w:tcPr>
            <w:tcW w:w="1219" w:type="dxa"/>
          </w:tcPr>
          <w:p w:rsidR="00013773" w:rsidRDefault="00162AAF" w:rsidP="00D32849">
            <w:pPr>
              <w:jc w:val="center"/>
            </w:pPr>
            <w:hyperlink r:id="rId10" w:history="1">
              <w:r w:rsidR="0001377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013773" w:rsidRDefault="00013773" w:rsidP="00D32849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+36 20 754 4382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2.500.000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2008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Nyíregyháza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100.000.000.000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Mász Kálmán</w:t>
            </w:r>
          </w:p>
        </w:tc>
        <w:tc>
          <w:tcPr>
            <w:tcW w:w="1219" w:type="dxa"/>
          </w:tcPr>
          <w:p w:rsidR="00013773" w:rsidRDefault="00162AAF" w:rsidP="00D32849">
            <w:pPr>
              <w:jc w:val="center"/>
            </w:pPr>
            <w:hyperlink r:id="rId11" w:history="1">
              <w:r w:rsidR="0001377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013773" w:rsidRDefault="00013773" w:rsidP="00013773">
            <w:pPr>
              <w:jc w:val="center"/>
            </w:pPr>
            <w:r>
              <w:t xml:space="preserve">+36 20 123 6938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3.000.000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2012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Pécs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120.000.000.000</w:t>
            </w:r>
          </w:p>
        </w:tc>
      </w:tr>
      <w:tr w:rsidR="009D5A7A" w:rsidTr="00D32849">
        <w:tc>
          <w:tcPr>
            <w:tcW w:w="1207" w:type="dxa"/>
          </w:tcPr>
          <w:p w:rsidR="00013773" w:rsidRDefault="00013773" w:rsidP="00D32849">
            <w:pPr>
              <w:jc w:val="center"/>
            </w:pPr>
            <w:r>
              <w:t>Vicc Elek</w:t>
            </w:r>
          </w:p>
        </w:tc>
        <w:tc>
          <w:tcPr>
            <w:tcW w:w="1219" w:type="dxa"/>
          </w:tcPr>
          <w:p w:rsidR="00013773" w:rsidRDefault="00013773" w:rsidP="00D32849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013773" w:rsidRDefault="009D5A7A" w:rsidP="00D32849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013773" w:rsidRDefault="00013773" w:rsidP="00D32849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013773" w:rsidRDefault="00013773" w:rsidP="00D32849">
            <w:pPr>
              <w:jc w:val="center"/>
            </w:pPr>
            <w:r>
              <w:t xml:space="preserve">+36 70 834 3467 </w:t>
            </w:r>
          </w:p>
        </w:tc>
        <w:tc>
          <w:tcPr>
            <w:tcW w:w="1217" w:type="dxa"/>
          </w:tcPr>
          <w:p w:rsidR="00013773" w:rsidRDefault="009D5A7A" w:rsidP="00D32849">
            <w:pPr>
              <w:jc w:val="center"/>
            </w:pPr>
            <w:r>
              <w:t>3.100.000</w:t>
            </w:r>
          </w:p>
        </w:tc>
        <w:tc>
          <w:tcPr>
            <w:tcW w:w="1208" w:type="dxa"/>
          </w:tcPr>
          <w:p w:rsidR="00013773" w:rsidRPr="00162AAF" w:rsidRDefault="009D5A7A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249" w:type="dxa"/>
          </w:tcPr>
          <w:p w:rsidR="00013773" w:rsidRDefault="009D5A7A" w:rsidP="00D32849">
            <w:pPr>
              <w:jc w:val="center"/>
            </w:pPr>
            <w:r>
              <w:t>1942</w:t>
            </w:r>
          </w:p>
        </w:tc>
        <w:tc>
          <w:tcPr>
            <w:tcW w:w="1254" w:type="dxa"/>
          </w:tcPr>
          <w:p w:rsidR="00013773" w:rsidRDefault="009D5A7A" w:rsidP="00D32849">
            <w:pPr>
              <w:jc w:val="center"/>
            </w:pPr>
            <w:r>
              <w:t>Sopron</w:t>
            </w:r>
          </w:p>
        </w:tc>
        <w:tc>
          <w:tcPr>
            <w:tcW w:w="1237" w:type="dxa"/>
          </w:tcPr>
          <w:p w:rsidR="00013773" w:rsidRDefault="009D5A7A" w:rsidP="00D32849">
            <w:pPr>
              <w:jc w:val="center"/>
            </w:pPr>
            <w:r>
              <w:t>124.000.000.000</w:t>
            </w:r>
          </w:p>
        </w:tc>
      </w:tr>
    </w:tbl>
    <w:p w:rsidR="0000480D" w:rsidRDefault="0000480D" w:rsidP="00013773"/>
    <w:p w:rsidR="0000480D" w:rsidRDefault="0000480D" w:rsidP="0000480D">
      <w:r>
        <w:br w:type="page"/>
      </w:r>
    </w:p>
    <w:p w:rsidR="00013773" w:rsidRDefault="00013773" w:rsidP="0001377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013773" w:rsidTr="00D32849">
        <w:trPr>
          <w:jc w:val="center"/>
        </w:trPr>
        <w:tc>
          <w:tcPr>
            <w:tcW w:w="2798" w:type="dxa"/>
            <w:gridSpan w:val="2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013773" w:rsidRPr="00870D2D" w:rsidRDefault="00013773" w:rsidP="00D32849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013773" w:rsidRPr="00162AAF" w:rsidRDefault="00013773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013773" w:rsidRDefault="00013773" w:rsidP="00D32849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013773" w:rsidRDefault="00013773" w:rsidP="00D32849">
            <w:pPr>
              <w:jc w:val="center"/>
            </w:pPr>
            <w:r>
              <w:t>Kor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600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Apró cserepes növények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758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Botanical collection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0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2024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Jégmadár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false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834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Icons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Homokfutó móka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3.690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Friends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4+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100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2023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Gyűrűk Ura Völgyzugoly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199.990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6167</w:t>
            </w:r>
          </w:p>
        </w:tc>
        <w:tc>
          <w:tcPr>
            <w:tcW w:w="1400" w:type="dxa"/>
          </w:tcPr>
          <w:p w:rsidR="00013773" w:rsidRDefault="00AE6B2B" w:rsidP="00AE6B2B">
            <w:pPr>
              <w:jc w:val="center"/>
            </w:pPr>
            <w:r>
              <w:t>The Lord of The Rings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  <w:tr w:rsidR="00013773" w:rsidTr="00D32849">
        <w:trPr>
          <w:jc w:val="center"/>
        </w:trPr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450</w:t>
            </w:r>
          </w:p>
        </w:tc>
        <w:tc>
          <w:tcPr>
            <w:tcW w:w="1399" w:type="dxa"/>
          </w:tcPr>
          <w:p w:rsidR="00013773" w:rsidRDefault="002D66FC" w:rsidP="00D32849">
            <w:pPr>
              <w:jc w:val="center"/>
            </w:pPr>
            <w:r>
              <w:t>2022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A gízai nagy piramis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59.990</w:t>
            </w:r>
          </w:p>
        </w:tc>
        <w:tc>
          <w:tcPr>
            <w:tcW w:w="1399" w:type="dxa"/>
          </w:tcPr>
          <w:p w:rsidR="00013773" w:rsidRPr="00162AAF" w:rsidRDefault="00AE6B2B" w:rsidP="00D32849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true</w:t>
            </w:r>
          </w:p>
        </w:tc>
        <w:tc>
          <w:tcPr>
            <w:tcW w:w="1399" w:type="dxa"/>
          </w:tcPr>
          <w:p w:rsidR="00013773" w:rsidRDefault="00AE6B2B" w:rsidP="00D32849">
            <w:pPr>
              <w:jc w:val="center"/>
            </w:pPr>
            <w:r>
              <w:t>1476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Architecture</w:t>
            </w:r>
          </w:p>
        </w:tc>
        <w:tc>
          <w:tcPr>
            <w:tcW w:w="1400" w:type="dxa"/>
          </w:tcPr>
          <w:p w:rsidR="00013773" w:rsidRDefault="00AE6B2B" w:rsidP="00D32849">
            <w:pPr>
              <w:jc w:val="center"/>
            </w:pPr>
            <w:r>
              <w:t>18+</w:t>
            </w:r>
          </w:p>
        </w:tc>
      </w:tr>
    </w:tbl>
    <w:p w:rsidR="00780E53" w:rsidRDefault="00780E53" w:rsidP="00780E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80E53" w:rsidRDefault="00780E53" w:rsidP="00780E53">
      <w:pPr>
        <w:pStyle w:val="Cmsor2"/>
        <w:ind w:firstLine="708"/>
      </w:pPr>
      <w:r>
        <w:t>Második</w:t>
      </w:r>
    </w:p>
    <w:p w:rsidR="00780E53" w:rsidRDefault="00780E53" w:rsidP="004F71AE">
      <w:pPr>
        <w:jc w:val="center"/>
        <w:rPr>
          <w:b/>
        </w:rPr>
        <w:sectPr w:rsidR="00780E53" w:rsidSect="00A11F4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Ind w:w="-1093" w:type="dxa"/>
        <w:tblLook w:val="04A0" w:firstRow="1" w:lastRow="0" w:firstColumn="1" w:lastColumn="0" w:noHBand="0" w:noVBand="1"/>
      </w:tblPr>
      <w:tblGrid>
        <w:gridCol w:w="837"/>
        <w:gridCol w:w="2342"/>
        <w:gridCol w:w="891"/>
        <w:gridCol w:w="885"/>
        <w:gridCol w:w="1508"/>
        <w:gridCol w:w="1267"/>
      </w:tblGrid>
      <w:tr w:rsidR="00780E53" w:rsidRPr="00870D2D" w:rsidTr="00780E53">
        <w:tc>
          <w:tcPr>
            <w:tcW w:w="9109" w:type="dxa"/>
            <w:gridSpan w:val="6"/>
          </w:tcPr>
          <w:p w:rsidR="00780E53" w:rsidRPr="00870D2D" w:rsidRDefault="00780E53" w:rsidP="004F71AE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Alkalmazott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Név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TAJ szám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Telefonszám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Bekre Pál</w:t>
            </w:r>
          </w:p>
        </w:tc>
        <w:tc>
          <w:tcPr>
            <w:tcW w:w="2501" w:type="dxa"/>
          </w:tcPr>
          <w:p w:rsidR="00780E53" w:rsidRDefault="00162AAF" w:rsidP="004F71AE">
            <w:pPr>
              <w:jc w:val="center"/>
            </w:pPr>
            <w:hyperlink r:id="rId12" w:history="1">
              <w:r w:rsidR="00780E53" w:rsidRPr="00F12318">
                <w:rPr>
                  <w:rStyle w:val="Hiperhivatkozs"/>
                </w:rPr>
                <w:t>bekre.pal@gmail.com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500.000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146 347 742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2000.05.12.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>+36 30 345 7534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Pis Imre</w:t>
            </w:r>
          </w:p>
        </w:tc>
        <w:tc>
          <w:tcPr>
            <w:tcW w:w="2501" w:type="dxa"/>
          </w:tcPr>
          <w:p w:rsidR="00780E53" w:rsidRDefault="00162AAF" w:rsidP="004F71AE">
            <w:pPr>
              <w:jc w:val="center"/>
            </w:pPr>
            <w:hyperlink r:id="rId13" w:history="1">
              <w:r w:rsidR="00780E53" w:rsidRPr="00F12318">
                <w:rPr>
                  <w:rStyle w:val="Hiperhivatkozs"/>
                </w:rPr>
                <w:t>pis.imre@gmail.com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486.230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146 645 832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1995.10.30.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+36 70 182 5832 </w:t>
            </w:r>
          </w:p>
        </w:tc>
      </w:tr>
      <w:tr w:rsidR="00780E53" w:rsidTr="00780E53">
        <w:tc>
          <w:tcPr>
            <w:tcW w:w="1207" w:type="dxa"/>
          </w:tcPr>
          <w:p w:rsidR="00780E53" w:rsidRDefault="00B96ACD" w:rsidP="004F71AE">
            <w:pPr>
              <w:jc w:val="center"/>
            </w:pPr>
            <w:r>
              <w:t>Techn</w:t>
            </w:r>
            <w:r w:rsidR="00780E53">
              <w:t>o Kolos</w:t>
            </w:r>
          </w:p>
        </w:tc>
        <w:tc>
          <w:tcPr>
            <w:tcW w:w="2501" w:type="dxa"/>
          </w:tcPr>
          <w:p w:rsidR="00780E53" w:rsidRDefault="00162AAF" w:rsidP="004F71AE">
            <w:pPr>
              <w:jc w:val="center"/>
            </w:pPr>
            <w:hyperlink r:id="rId14" w:history="1">
              <w:r w:rsidR="00780E53" w:rsidRPr="00F12318">
                <w:rPr>
                  <w:rStyle w:val="Hiperhivatkozs"/>
                </w:rPr>
                <w:t>techno.kolos@gmail.com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510.540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146 432 763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2006.01.06.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+36 20 754 4382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Mász Kálmán</w:t>
            </w:r>
          </w:p>
        </w:tc>
        <w:tc>
          <w:tcPr>
            <w:tcW w:w="2501" w:type="dxa"/>
          </w:tcPr>
          <w:p w:rsidR="00780E53" w:rsidRDefault="00162AAF" w:rsidP="004F71AE">
            <w:pPr>
              <w:jc w:val="center"/>
            </w:pPr>
            <w:hyperlink r:id="rId15" w:history="1">
              <w:r w:rsidR="00780E53" w:rsidRPr="00F12318">
                <w:rPr>
                  <w:rStyle w:val="Hiperhivatkozs"/>
                </w:rPr>
                <w:t>masz.kalman@gmail.com</w:t>
              </w:r>
            </w:hyperlink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498.450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146 513 376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1998.03.27.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+36 20 123 6938 </w:t>
            </w:r>
          </w:p>
        </w:tc>
      </w:tr>
      <w:tr w:rsidR="00780E53" w:rsidTr="00780E53">
        <w:tc>
          <w:tcPr>
            <w:tcW w:w="1207" w:type="dxa"/>
          </w:tcPr>
          <w:p w:rsidR="00780E53" w:rsidRDefault="00780E53" w:rsidP="004F71AE">
            <w:pPr>
              <w:jc w:val="center"/>
            </w:pPr>
            <w:r>
              <w:t>Vicc Elek</w:t>
            </w:r>
          </w:p>
        </w:tc>
        <w:tc>
          <w:tcPr>
            <w:tcW w:w="2501" w:type="dxa"/>
          </w:tcPr>
          <w:p w:rsidR="00780E53" w:rsidRDefault="00780E53" w:rsidP="004F71AE">
            <w:pPr>
              <w:jc w:val="center"/>
            </w:pPr>
            <w:r>
              <w:t>vicc.elek@gmail.com</w:t>
            </w:r>
          </w:p>
        </w:tc>
        <w:tc>
          <w:tcPr>
            <w:tcW w:w="1233" w:type="dxa"/>
          </w:tcPr>
          <w:p w:rsidR="00780E53" w:rsidRDefault="00780E53" w:rsidP="004F71AE">
            <w:pPr>
              <w:jc w:val="center"/>
            </w:pPr>
            <w:r>
              <w:t>540.000</w:t>
            </w:r>
          </w:p>
        </w:tc>
        <w:tc>
          <w:tcPr>
            <w:tcW w:w="1217" w:type="dxa"/>
          </w:tcPr>
          <w:p w:rsidR="00780E53" w:rsidRPr="00162AAF" w:rsidRDefault="00780E53" w:rsidP="004F71AE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146 853 235</w:t>
            </w:r>
          </w:p>
        </w:tc>
        <w:tc>
          <w:tcPr>
            <w:tcW w:w="1605" w:type="dxa"/>
          </w:tcPr>
          <w:p w:rsidR="00780E53" w:rsidRDefault="00780E53" w:rsidP="004F71AE">
            <w:pPr>
              <w:jc w:val="center"/>
            </w:pPr>
            <w:r>
              <w:t>2004.08.29.</w:t>
            </w:r>
          </w:p>
        </w:tc>
        <w:tc>
          <w:tcPr>
            <w:tcW w:w="1346" w:type="dxa"/>
          </w:tcPr>
          <w:p w:rsidR="00780E53" w:rsidRDefault="00780E53" w:rsidP="004F71AE">
            <w:pPr>
              <w:jc w:val="center"/>
            </w:pPr>
            <w:r>
              <w:t xml:space="preserve">+36 70 834 3467 </w:t>
            </w:r>
          </w:p>
        </w:tc>
      </w:tr>
    </w:tbl>
    <w:tbl>
      <w:tblPr>
        <w:tblStyle w:val="Rcsostblzat"/>
        <w:tblpPr w:leftFromText="141" w:rightFromText="141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1180"/>
        <w:gridCol w:w="1256"/>
        <w:gridCol w:w="1169"/>
        <w:gridCol w:w="1311"/>
        <w:gridCol w:w="1721"/>
      </w:tblGrid>
      <w:tr w:rsidR="00780E53" w:rsidRPr="00870D2D" w:rsidTr="00780E53">
        <w:tc>
          <w:tcPr>
            <w:tcW w:w="6637" w:type="dxa"/>
            <w:gridSpan w:val="5"/>
          </w:tcPr>
          <w:p w:rsidR="00780E53" w:rsidRPr="00870D2D" w:rsidRDefault="00780E53" w:rsidP="00780E53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ÁHM</w:t>
            </w:r>
          </w:p>
        </w:tc>
        <w:tc>
          <w:tcPr>
            <w:tcW w:w="1256" w:type="dxa"/>
          </w:tcPr>
          <w:p w:rsidR="00780E53" w:rsidRDefault="00780E53" w:rsidP="00780E53">
            <w:pPr>
              <w:jc w:val="center"/>
            </w:pPr>
            <w:r w:rsidRPr="00162AAF">
              <w:rPr>
                <w:color w:val="FF0000"/>
              </w:rPr>
              <w:t>Név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ÉpitésiÉv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Település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Bevétel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2.700.000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Győri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2014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Győr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108.000.000.000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2.850.000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Debreceni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1956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Debrecen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114.000.000.000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2.500.000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Nyíregyházi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2008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Nyíregyháza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100.000.000.000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3.000.000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Pécsi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2012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Pécs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120.000.000.000</w:t>
            </w:r>
          </w:p>
        </w:tc>
      </w:tr>
      <w:tr w:rsidR="00780E53" w:rsidTr="00780E53">
        <w:tc>
          <w:tcPr>
            <w:tcW w:w="1180" w:type="dxa"/>
          </w:tcPr>
          <w:p w:rsidR="00780E53" w:rsidRDefault="00780E53" w:rsidP="00780E53">
            <w:pPr>
              <w:jc w:val="center"/>
            </w:pPr>
            <w:r>
              <w:t>3.100.000</w:t>
            </w:r>
          </w:p>
        </w:tc>
        <w:tc>
          <w:tcPr>
            <w:tcW w:w="1256" w:type="dxa"/>
          </w:tcPr>
          <w:p w:rsidR="00780E53" w:rsidRPr="00162AAF" w:rsidRDefault="00780E53" w:rsidP="00780E53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Soproni Lego Gyár</w:t>
            </w:r>
          </w:p>
        </w:tc>
        <w:tc>
          <w:tcPr>
            <w:tcW w:w="1169" w:type="dxa"/>
          </w:tcPr>
          <w:p w:rsidR="00780E53" w:rsidRDefault="00780E53" w:rsidP="00780E53">
            <w:pPr>
              <w:jc w:val="center"/>
            </w:pPr>
            <w:r>
              <w:t>1942</w:t>
            </w:r>
          </w:p>
        </w:tc>
        <w:tc>
          <w:tcPr>
            <w:tcW w:w="1311" w:type="dxa"/>
          </w:tcPr>
          <w:p w:rsidR="00780E53" w:rsidRDefault="00780E53" w:rsidP="00780E53">
            <w:pPr>
              <w:jc w:val="center"/>
            </w:pPr>
            <w:r>
              <w:t>Sopron</w:t>
            </w:r>
          </w:p>
        </w:tc>
        <w:tc>
          <w:tcPr>
            <w:tcW w:w="1721" w:type="dxa"/>
          </w:tcPr>
          <w:p w:rsidR="00780E53" w:rsidRDefault="00780E53" w:rsidP="00780E53">
            <w:pPr>
              <w:jc w:val="center"/>
            </w:pPr>
            <w:r>
              <w:t>124.000.000.000</w:t>
            </w:r>
          </w:p>
        </w:tc>
      </w:tr>
    </w:tbl>
    <w:p w:rsidR="00780E53" w:rsidRDefault="00780E53" w:rsidP="00780E53"/>
    <w:p w:rsidR="00780E53" w:rsidRDefault="00780E53" w:rsidP="00780E53">
      <w:r>
        <w:br w:type="page"/>
      </w:r>
    </w:p>
    <w:tbl>
      <w:tblPr>
        <w:tblStyle w:val="Rcsostblzat"/>
        <w:tblpPr w:leftFromText="141" w:rightFromText="141" w:vertAnchor="text" w:horzAnchor="margin" w:tblpY="224"/>
        <w:tblW w:w="9067" w:type="dxa"/>
        <w:tblLook w:val="04A0" w:firstRow="1" w:lastRow="0" w:firstColumn="1" w:lastColumn="0" w:noHBand="0" w:noVBand="1"/>
      </w:tblPr>
      <w:tblGrid>
        <w:gridCol w:w="1051"/>
        <w:gridCol w:w="1283"/>
        <w:gridCol w:w="941"/>
        <w:gridCol w:w="1201"/>
        <w:gridCol w:w="1398"/>
        <w:gridCol w:w="663"/>
        <w:gridCol w:w="1331"/>
        <w:gridCol w:w="1199"/>
      </w:tblGrid>
      <w:tr w:rsidR="00B96ACD" w:rsidRPr="00870D2D" w:rsidTr="00B96ACD">
        <w:tc>
          <w:tcPr>
            <w:tcW w:w="9067" w:type="dxa"/>
            <w:gridSpan w:val="8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lastRenderedPageBreak/>
              <w:t>Szett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KiadásiÉv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Név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Ár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Szériaszám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Forgalomban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DB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Téma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Kor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Apró cserepes növények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10329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758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Botanical collection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2024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Jégmadár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10331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false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834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Icons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Homokfutó móka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3.690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41725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Friends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4+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2023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Gyűrűk Ura Völgyzugoly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199.990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10316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6167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The Lord of The Rings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  <w:tr w:rsidR="00B96ACD" w:rsidTr="00B96ACD">
        <w:tc>
          <w:tcPr>
            <w:tcW w:w="1051" w:type="dxa"/>
          </w:tcPr>
          <w:p w:rsidR="00B96ACD" w:rsidRDefault="00B96ACD" w:rsidP="00B96ACD">
            <w:pPr>
              <w:jc w:val="center"/>
            </w:pPr>
            <w:r>
              <w:t>2022</w:t>
            </w:r>
          </w:p>
        </w:tc>
        <w:tc>
          <w:tcPr>
            <w:tcW w:w="1283" w:type="dxa"/>
          </w:tcPr>
          <w:p w:rsidR="00B96ACD" w:rsidRDefault="00B96ACD" w:rsidP="00B96ACD">
            <w:pPr>
              <w:jc w:val="center"/>
            </w:pPr>
            <w:r>
              <w:t>A gízai nagy piramis</w:t>
            </w:r>
          </w:p>
        </w:tc>
        <w:tc>
          <w:tcPr>
            <w:tcW w:w="941" w:type="dxa"/>
          </w:tcPr>
          <w:p w:rsidR="00B96ACD" w:rsidRDefault="00B96ACD" w:rsidP="00B96ACD">
            <w:pPr>
              <w:jc w:val="center"/>
            </w:pPr>
            <w:r>
              <w:t>59.990</w:t>
            </w:r>
          </w:p>
        </w:tc>
        <w:tc>
          <w:tcPr>
            <w:tcW w:w="1201" w:type="dxa"/>
          </w:tcPr>
          <w:p w:rsidR="00B96ACD" w:rsidRPr="00162AAF" w:rsidRDefault="00B96ACD" w:rsidP="00B96ACD">
            <w:pPr>
              <w:jc w:val="center"/>
              <w:rPr>
                <w:color w:val="FF0000"/>
              </w:rPr>
            </w:pPr>
            <w:r w:rsidRPr="00162AAF">
              <w:rPr>
                <w:color w:val="FF0000"/>
              </w:rPr>
              <w:t>21058</w:t>
            </w:r>
          </w:p>
        </w:tc>
        <w:tc>
          <w:tcPr>
            <w:tcW w:w="1398" w:type="dxa"/>
          </w:tcPr>
          <w:p w:rsidR="00B96ACD" w:rsidRDefault="00B96ACD" w:rsidP="00B96ACD">
            <w:pPr>
              <w:jc w:val="center"/>
            </w:pPr>
            <w:r>
              <w:t>true</w:t>
            </w:r>
          </w:p>
        </w:tc>
        <w:tc>
          <w:tcPr>
            <w:tcW w:w="663" w:type="dxa"/>
          </w:tcPr>
          <w:p w:rsidR="00B96ACD" w:rsidRDefault="00B96ACD" w:rsidP="00B96ACD">
            <w:pPr>
              <w:jc w:val="center"/>
            </w:pPr>
            <w:r>
              <w:t>1476</w:t>
            </w:r>
          </w:p>
        </w:tc>
        <w:tc>
          <w:tcPr>
            <w:tcW w:w="1331" w:type="dxa"/>
          </w:tcPr>
          <w:p w:rsidR="00B96ACD" w:rsidRDefault="00B96ACD" w:rsidP="00B96ACD">
            <w:pPr>
              <w:jc w:val="center"/>
            </w:pPr>
            <w:r>
              <w:t>Architecture</w:t>
            </w:r>
          </w:p>
        </w:tc>
        <w:tc>
          <w:tcPr>
            <w:tcW w:w="1199" w:type="dxa"/>
          </w:tcPr>
          <w:p w:rsidR="00B96ACD" w:rsidRDefault="00B96ACD" w:rsidP="00B96ACD">
            <w:pPr>
              <w:jc w:val="center"/>
            </w:pPr>
            <w:r>
              <w:t>18+</w:t>
            </w:r>
          </w:p>
        </w:tc>
      </w:tr>
    </w:tbl>
    <w:tbl>
      <w:tblPr>
        <w:tblStyle w:val="Rcsostblzat"/>
        <w:tblpPr w:leftFromText="141" w:rightFromText="141" w:vertAnchor="page" w:horzAnchor="page" w:tblpX="11671" w:tblpY="1411"/>
        <w:tblW w:w="0" w:type="auto"/>
        <w:tblLook w:val="04A0" w:firstRow="1" w:lastRow="0" w:firstColumn="1" w:lastColumn="0" w:noHBand="0" w:noVBand="1"/>
      </w:tblPr>
      <w:tblGrid>
        <w:gridCol w:w="1399"/>
        <w:gridCol w:w="1399"/>
      </w:tblGrid>
      <w:tr w:rsidR="00B96ACD" w:rsidRPr="00870D2D" w:rsidTr="00B96ACD">
        <w:tc>
          <w:tcPr>
            <w:tcW w:w="2798" w:type="dxa"/>
            <w:gridSpan w:val="2"/>
          </w:tcPr>
          <w:p w:rsidR="00B96ACD" w:rsidRPr="00870D2D" w:rsidRDefault="00B96ACD" w:rsidP="00B96AC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ÁHE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1500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600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1700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12000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100</w:t>
            </w:r>
          </w:p>
        </w:tc>
      </w:tr>
      <w:tr w:rsidR="00B96ACD" w:rsidTr="00B96ACD"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3000</w:t>
            </w:r>
          </w:p>
        </w:tc>
        <w:tc>
          <w:tcPr>
            <w:tcW w:w="1399" w:type="dxa"/>
          </w:tcPr>
          <w:p w:rsidR="00B96ACD" w:rsidRDefault="00B96ACD" w:rsidP="00B96ACD">
            <w:pPr>
              <w:jc w:val="center"/>
            </w:pPr>
            <w:r>
              <w:t>450</w:t>
            </w:r>
          </w:p>
        </w:tc>
      </w:tr>
    </w:tbl>
    <w:p w:rsidR="00B96ACD" w:rsidRDefault="00B96ACD" w:rsidP="00780E53">
      <w:pPr>
        <w:sectPr w:rsidR="00B96ACD" w:rsidSect="00780E53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B96ACD" w:rsidRDefault="00B96ACD" w:rsidP="00B96ACD">
      <w:pPr>
        <w:spacing w:after="3240"/>
      </w:pPr>
    </w:p>
    <w:p w:rsidR="00B96ACD" w:rsidRDefault="00B96ACD" w:rsidP="00B96ACD">
      <w:pPr>
        <w:pStyle w:val="Cmsor2"/>
      </w:pPr>
      <w:r>
        <w:tab/>
      </w:r>
      <w:bookmarkStart w:id="0" w:name="_GoBack"/>
      <w:bookmarkEnd w:id="0"/>
    </w:p>
    <w:p w:rsidR="00B96ACD" w:rsidRPr="00B96ACD" w:rsidRDefault="00B96ACD" w:rsidP="00B96ACD"/>
    <w:sectPr w:rsidR="00B96ACD" w:rsidRPr="00B96ACD" w:rsidSect="00B96ACD">
      <w:type w:val="continuous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0480D"/>
    <w:rsid w:val="00013773"/>
    <w:rsid w:val="000873B3"/>
    <w:rsid w:val="000C72FC"/>
    <w:rsid w:val="00162AAF"/>
    <w:rsid w:val="0023396C"/>
    <w:rsid w:val="002D66FC"/>
    <w:rsid w:val="00680B54"/>
    <w:rsid w:val="00780E53"/>
    <w:rsid w:val="00793074"/>
    <w:rsid w:val="007A2A90"/>
    <w:rsid w:val="00870D2D"/>
    <w:rsid w:val="009D5A7A"/>
    <w:rsid w:val="00A11F4A"/>
    <w:rsid w:val="00A4098F"/>
    <w:rsid w:val="00AE6B2B"/>
    <w:rsid w:val="00B96ACD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1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kre.pal@gmail.com" TargetMode="External"/><Relationship Id="rId13" Type="http://schemas.openxmlformats.org/officeDocument/2006/relationships/hyperlink" Target="mailto:pis.imr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bekre.pal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sz.kalma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asz.kalman@gmail.com" TargetMode="External"/><Relationship Id="rId10" Type="http://schemas.openxmlformats.org/officeDocument/2006/relationships/hyperlink" Target="mailto:techno.kolo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s.imre@gmail.com" TargetMode="External"/><Relationship Id="rId14" Type="http://schemas.openxmlformats.org/officeDocument/2006/relationships/hyperlink" Target="mailto:techno.kolos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4F2F6-7429-44D7-BD81-6A1EC5DD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546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Szebelédi Zoltán</cp:lastModifiedBy>
  <cp:revision>12</cp:revision>
  <dcterms:created xsi:type="dcterms:W3CDTF">2024-02-19T11:52:00Z</dcterms:created>
  <dcterms:modified xsi:type="dcterms:W3CDTF">2024-03-05T11:48:00Z</dcterms:modified>
</cp:coreProperties>
</file>