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李争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李争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2017.06.13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2017.07.13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208,333.33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0008929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双季盈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2017.02.13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0008929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1,640.00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1,640.00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201,666.67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1,640.00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1,653.45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1,653.45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203,333.33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1,653.45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1,667.01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1,667.01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205,000.00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1,667.01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2017.06.15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1,680.68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1,680.68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206,666.67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1,680.68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1,694.46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1,694.46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208,333.33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1,694.46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07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232,862.45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232,862.45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2212.19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蔡峰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231005195908132000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4,424.19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4,424.19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2017/10/05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42.03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2254.22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2254.22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239,540.86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0008929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双季盈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李争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先生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2017/07/15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李争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110224198411082615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2254.22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undefined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12.00%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2254.22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2017/07/15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2254.22T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2254.22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2017/07/15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2017/07/15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