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贾士茹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贾士茹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2017.04.06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2017.05.06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101,500.00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0008921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单季丰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2017.02.06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0008921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500.48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500.48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101,000.00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500.48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502.97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502.97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101,500.00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502.97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05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101,992.07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101,992.07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968.92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刘洁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413025197011174000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5,865.50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5,865.50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2017/10/07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55.72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3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107,857.57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1,024.64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0008921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单季丰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贾士茹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女士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2017/05/15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贾士茹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211381199507233926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刘洁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413025197011174000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5,865.50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京（2016）顺义区不动产证明第0013757号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2017/10/07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12.00%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5,865.50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2017/05/15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5,865.50T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5,865.50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2017/05/15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2017/05/15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